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pPr>
      <w:r>
        <w:rPr>
          <w:rtl w:val="0"/>
        </w:rPr>
        <w:t>Task Objective</w:t>
      </w:r>
    </w:p>
    <w:p>
      <w:pPr>
        <w:pStyle w:val="Body"/>
        <w:bidi w:val="0"/>
      </w:pPr>
      <w:r>
        <w:rPr>
          <w:rFonts w:ascii="Helvetica Neue" w:hAnsi="Helvetica Neue"/>
          <w:b w:val="1"/>
          <w:bCs w:val="1"/>
          <w:rtl w:val="0"/>
          <w:lang w:val="en-US"/>
        </w:rPr>
        <w:t xml:space="preserve">Goal: </w:t>
      </w:r>
      <w:r>
        <w:rPr>
          <w:rtl w:val="0"/>
        </w:rPr>
        <w:t xml:space="preserve">Create a guaranteed net </w:t>
      </w:r>
      <w:r>
        <w:rPr>
          <w:rtl w:val="0"/>
        </w:rPr>
        <w:t xml:space="preserve">(gross-up) </w:t>
      </w:r>
      <w:r>
        <w:rPr>
          <w:rtl w:val="0"/>
        </w:rPr>
        <w:t>bonus calculated per cent from an average based on earnings for the last 12 months.</w:t>
      </w:r>
      <w:r>
        <w:rPr>
          <w:rtl w:val="0"/>
        </w:rPr>
        <w:t xml:space="preserve"> </w:t>
      </w:r>
      <w:r>
        <w:rPr>
          <w:rtl w:val="0"/>
        </w:rPr>
        <w:t>The percent value is determined according to the organisational assignment (infotype 0001).</w:t>
      </w:r>
      <w:r>
        <w:rPr>
          <w:rtl w:val="0"/>
        </w:rPr>
        <w:t> </w:t>
      </w:r>
    </w:p>
    <w:p>
      <w:pPr>
        <w:pStyle w:val="Body"/>
        <w:bidi w:val="0"/>
      </w:pPr>
      <w:r>
        <w:rPr>
          <w:rtl w:val="0"/>
        </w:rPr>
        <w:t xml:space="preserve">No schedule approved (could be monthly), paid on request. </w:t>
      </w:r>
      <w:r>
        <w:rPr>
          <w:rtl w:val="0"/>
        </w:rPr>
        <w:t>Once the decision to pay the bonus</w:t>
      </w:r>
      <w:r>
        <w:rPr>
          <w:rtl w:val="0"/>
        </w:rPr>
        <w:t xml:space="preserve"> and the list of employees to be remunerated</w:t>
      </w:r>
      <w:r>
        <w:rPr>
          <w:rtl w:val="0"/>
        </w:rPr>
        <w:t xml:space="preserve"> </w:t>
      </w:r>
      <w:r>
        <w:rPr>
          <w:rtl w:val="0"/>
        </w:rPr>
        <w:t>are</w:t>
      </w:r>
      <w:r>
        <w:rPr>
          <w:rtl w:val="0"/>
        </w:rPr>
        <w:t xml:space="preserve"> provided to HR, the </w:t>
      </w:r>
      <w:r>
        <w:rPr>
          <w:rtl w:val="0"/>
        </w:rPr>
        <w:t>bonus</w:t>
      </w:r>
      <w:r>
        <w:rPr>
          <w:rtl w:val="0"/>
        </w:rPr>
        <w:t xml:space="preserve"> should be calculated and paid in three days</w:t>
      </w:r>
      <w:r>
        <w:rPr>
          <w:rtl w:val="0"/>
        </w:rPr>
        <w:t>.</w:t>
      </w:r>
    </w:p>
    <w:p>
      <w:pPr>
        <w:pStyle w:val="Body"/>
        <w:bidi w:val="0"/>
      </w:pPr>
      <w:r>
        <w:rPr>
          <w:rtl w:val="0"/>
          <w:lang w:val="it-IT"/>
        </w:rPr>
        <w:t xml:space="preserve">Per cent determination rule, </w:t>
      </w:r>
      <w:r>
        <w:rPr>
          <w:rtl w:val="0"/>
        </w:rPr>
        <w:t xml:space="preserve">list of wage types included into average calculation, </w:t>
      </w:r>
      <w:r>
        <w:rPr>
          <w:rtl w:val="0"/>
        </w:rPr>
        <w:t xml:space="preserve">posting and tax details provided. </w:t>
      </w:r>
    </w:p>
    <w:p>
      <w:pPr>
        <w:pStyle w:val="Body"/>
        <w:bidi w:val="0"/>
      </w:pPr>
      <w:r>
        <w:rPr>
          <w:rFonts w:ascii="Helvetica Neue" w:hAnsi="Helvetica Neue"/>
          <w:b w:val="1"/>
          <w:bCs w:val="1"/>
          <w:rtl w:val="0"/>
          <w:lang w:val="en-US"/>
        </w:rPr>
        <w:t xml:space="preserve">Context: </w:t>
      </w:r>
      <w:r>
        <w:rPr>
          <w:rtl w:val="0"/>
        </w:rPr>
        <w:t xml:space="preserve">Manual data entry should be avoided. IT department should not perform any actions </w:t>
      </w:r>
      <w:r>
        <w:rPr>
          <w:rtl w:val="0"/>
        </w:rPr>
        <w:t>required by</w:t>
      </w:r>
      <w:r>
        <w:rPr>
          <w:rtl w:val="0"/>
          <w:lang w:val="fr-FR"/>
        </w:rPr>
        <w:t xml:space="preserve"> productive operation. </w:t>
      </w:r>
    </w:p>
    <w:p>
      <w:pPr>
        <w:pStyle w:val="Body"/>
        <w:bidi w:val="0"/>
      </w:pPr>
      <w:r>
        <w:rPr>
          <w:rtl w:val="0"/>
        </w:rPr>
        <w:t xml:space="preserve">Payroll is decentralised on factories, and not to be centralised in the immediate future. </w:t>
      </w:r>
    </w:p>
    <w:p>
      <w:pPr>
        <w:pStyle w:val="Body"/>
        <w:bidi w:val="0"/>
      </w:pPr>
      <w:r>
        <w:rPr>
          <w:rtl w:val="0"/>
        </w:rPr>
        <w:t>Payroll a</w:t>
      </w:r>
      <w:r>
        <w:rPr>
          <w:rtl w:val="0"/>
        </w:rPr>
        <w:t xml:space="preserve">ccountants </w:t>
      </w:r>
      <w:r>
        <w:rPr>
          <w:rtl w:val="0"/>
        </w:rPr>
        <w:t xml:space="preserve">on </w:t>
      </w:r>
      <w:r>
        <w:rPr>
          <w:rtl w:val="0"/>
        </w:rPr>
        <w:t>factory N</w:t>
      </w:r>
      <w:r>
        <w:rPr>
          <w:rtl w:val="0"/>
        </w:rPr>
        <w:t xml:space="preserve"> are currently not ready </w:t>
      </w:r>
      <w:r>
        <w:rPr>
          <w:rtl w:val="0"/>
        </w:rPr>
        <w:t xml:space="preserve">to accept changes to the currently working payroll process </w:t>
      </w:r>
      <w:r>
        <w:rPr>
          <w:rtl w:val="0"/>
        </w:rPr>
        <w:t xml:space="preserve">(assuming additional workload) </w:t>
      </w:r>
      <w:r>
        <w:rPr>
          <w:rtl w:val="0"/>
        </w:rPr>
        <w:t>with respect to this bonus. HR</w:t>
      </w:r>
      <w:r>
        <w:rPr>
          <w:rtl w:val="0"/>
        </w:rPr>
        <w:t xml:space="preserve"> administration</w:t>
      </w:r>
      <w:r>
        <w:rPr>
          <w:rtl w:val="0"/>
        </w:rPr>
        <w:t xml:space="preserve"> is centralised,</w:t>
      </w:r>
      <w:r>
        <w:rPr>
          <w:rtl w:val="0"/>
        </w:rPr>
        <w:t xml:space="preserve"> </w:t>
      </w:r>
      <w:r>
        <w:rPr>
          <w:rtl w:val="0"/>
        </w:rPr>
        <w:t>and</w:t>
      </w:r>
      <w:r>
        <w:rPr>
          <w:rtl w:val="0"/>
        </w:rPr>
        <w:t xml:space="preserve"> HR specialists maintain</w:t>
      </w:r>
      <w:r>
        <w:rPr>
          <w:rtl w:val="0"/>
        </w:rPr>
        <w:t xml:space="preserve"> </w:t>
      </w:r>
      <w:r>
        <w:rPr>
          <w:rtl w:val="0"/>
        </w:rPr>
        <w:t xml:space="preserve">employee </w:t>
      </w:r>
      <w:r>
        <w:rPr>
          <w:rtl w:val="0"/>
        </w:rPr>
        <w:t xml:space="preserve">data for </w:t>
      </w:r>
      <w:r>
        <w:rPr>
          <w:rtl w:val="0"/>
        </w:rPr>
        <w:t xml:space="preserve">factory </w:t>
      </w:r>
      <w:r>
        <w:rPr>
          <w:rtl w:val="0"/>
        </w:rPr>
        <w:t>N as well</w:t>
      </w:r>
      <w:r>
        <w:rPr>
          <w:rtl w:val="0"/>
        </w:rPr>
        <w:t xml:space="preserve"> from the HR shared centre.</w:t>
      </w:r>
    </w:p>
    <w:p>
      <w:pPr>
        <w:pStyle w:val="Subtitle"/>
        <w:bidi w:val="0"/>
      </w:pPr>
    </w:p>
    <w:p>
      <w:pPr>
        <w:pStyle w:val="Subtitle"/>
        <w:bidi w:val="0"/>
      </w:pPr>
      <w:r>
        <w:rPr>
          <w:rtl w:val="0"/>
        </w:rPr>
        <w:t>solution Recommendation</w:t>
      </w:r>
    </w:p>
    <w:p>
      <w:pPr>
        <w:pStyle w:val="Body"/>
        <w:bidi w:val="0"/>
      </w:pPr>
      <w:r>
        <w:rPr>
          <w:rFonts w:ascii="Helvetica Neue" w:hAnsi="Helvetica Neue"/>
          <w:b w:val="1"/>
          <w:bCs w:val="1"/>
          <w:rtl w:val="0"/>
          <w:lang w:val="en-US"/>
        </w:rPr>
        <w:t>Summary.</w:t>
      </w:r>
    </w:p>
    <w:p>
      <w:pPr>
        <w:pStyle w:val="Body"/>
        <w:bidi w:val="0"/>
      </w:pPr>
      <w:r>
        <w:rPr>
          <w:rtl w:val="0"/>
        </w:rPr>
        <w:t>It is recommended to use standard off-cycles for bonus, type A</w:t>
      </w:r>
      <w:r>
        <w:rPr>
          <w:rtl w:val="0"/>
        </w:rPr>
        <w:t> </w:t>
      </w:r>
      <w:r>
        <w:rPr>
          <w:rtl w:val="0"/>
        </w:rPr>
        <w:t xml:space="preserve">as it is possible to calculate averages. </w:t>
      </w:r>
      <w:r>
        <w:rPr>
          <w:rFonts w:ascii="Arial Unicode MS" w:cs="Arial Unicode MS" w:hAnsi="Arial Unicode MS" w:eastAsia="Arial Unicode MS"/>
          <w:b w:val="0"/>
          <w:bCs w:val="0"/>
          <w:i w:val="0"/>
          <w:iCs w:val="0"/>
        </w:rPr>
        <w:br w:type="textWrapping"/>
      </w:r>
      <w:r>
        <w:rPr>
          <w:rtl w:val="0"/>
        </w:rPr>
        <w:t xml:space="preserve">Considering taxes are not required to be calculated in off-cycle run, the amount estimated </w:t>
      </w:r>
      <w:r>
        <mc:AlternateContent>
          <mc:Choice Requires="wps">
            <w:drawing>
              <wp:anchor distT="0" distB="0" distL="0" distR="0" simplePos="0" relativeHeight="251659264" behindDoc="0" locked="0" layoutInCell="1" allowOverlap="1">
                <wp:simplePos x="0" y="0"/>
                <wp:positionH relativeFrom="page">
                  <wp:posOffset>763024</wp:posOffset>
                </wp:positionH>
                <wp:positionV relativeFrom="page">
                  <wp:posOffset>996795</wp:posOffset>
                </wp:positionV>
                <wp:extent cx="6248400" cy="1206810"/>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6248400" cy="1206810"/>
                        </a:xfrm>
                        <a:prstGeom prst="rect">
                          <a:avLst/>
                        </a:prstGeom>
                      </wps:spPr>
                      <wps:txbx>
                        <w:txbxContent>
                          <w:tbl>
                            <w:tblPr>
                              <w:tblW w:w="9840" w:type="dxa"/>
                              <w:tblInd w:w="0" w:type="dxa"/>
                              <w:tblBorders>
                                <w:top w:val="dotted" w:color="919191" w:sz="6" w:space="0" w:shadow="0" w:frame="0"/>
                                <w:left w:val="single" w:color="919191" w:sz="2" w:space="0" w:shadow="0" w:frame="0"/>
                                <w:bottom w:val="dotted" w:color="919191" w:sz="6" w:space="0" w:shadow="0" w:frame="0"/>
                                <w:right w:val="single" w:color="919191" w:sz="2" w:space="0" w:shadow="0" w:frame="0"/>
                                <w:insideH w:val="single" w:color="919191" w:sz="2" w:space="0" w:shadow="0" w:frame="0"/>
                                <w:insideV w:val="single" w:color="919191" w:sz="2" w:space="0" w:shadow="0" w:frame="0"/>
                              </w:tblBorders>
                              <w:shd w:val="clear" w:color="auto" w:fill="auto"/>
                              <w:tblLayout w:type="fixed"/>
                            </w:tblPr>
                            <w:tblGrid>
                              <w:gridCol w:w="5248"/>
                              <w:gridCol w:w="4592"/>
                            </w:tblGrid>
                            <w:tr>
                              <w:tblPrEx>
                                <w:shd w:val="clear" w:color="auto" w:fill="auto"/>
                              </w:tblPrEx>
                              <w:trPr>
                                <w:trHeight w:val="1740" w:hRule="atLeast"/>
                              </w:trPr>
                              <w:tc>
                                <w:tcPr>
                                  <w:tcW w:type="dxa" w:w="5248"/>
                                  <w:tcBorders>
                                    <w:top w:val="nil"/>
                                    <w:left w:val="nil"/>
                                    <w:bottom w:val="nil"/>
                                    <w:right w:val="single" w:color="919191" w:sz="2" w:space="0" w:shadow="0" w:frame="0"/>
                                  </w:tcBorders>
                                  <w:shd w:val="clear" w:color="auto" w:fill="auto"/>
                                  <w:tcMar>
                                    <w:top w:type="dxa" w:w="80"/>
                                    <w:left w:type="dxa" w:w="80"/>
                                    <w:bottom w:type="dxa" w:w="80"/>
                                    <w:right w:type="dxa" w:w="80"/>
                                  </w:tcMar>
                                  <w:vAlign w:val="top"/>
                                </w:tcPr>
                                <w:p>
                                  <w:pPr>
                                    <w:pStyle w:val="Default"/>
                                    <w:bidi w:val="0"/>
                                  </w:pPr>
                                  <w:r>
                                    <w:drawing>
                                      <wp:inline distT="0" distB="0" distL="0" distR="0">
                                        <wp:extent cx="3339674" cy="1078159"/>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4">
                                                  <a:extLst/>
                                                </a:blip>
                                                <a:stretch>
                                                  <a:fillRect/>
                                                </a:stretch>
                                              </pic:blipFill>
                                              <pic:spPr>
                                                <a:xfrm>
                                                  <a:off x="0" y="0"/>
                                                  <a:ext cx="3339674" cy="1078159"/>
                                                </a:xfrm>
                                                <a:prstGeom prst="rect">
                                                  <a:avLst/>
                                                </a:prstGeom>
                                                <a:effectLst/>
                                              </pic:spPr>
                                            </pic:pic>
                                          </a:graphicData>
                                        </a:graphic>
                                      </wp:inline>
                                    </w:drawing>
                                  </w:r>
                                </w:p>
                              </w:tc>
                              <w:tc>
                                <w:tcPr>
                                  <w:tcW w:type="dxa" w:w="4591"/>
                                  <w:tcBorders>
                                    <w:top w:val="nil"/>
                                    <w:left w:val="single" w:color="919191" w:sz="2" w:space="0" w:shadow="0" w:frame="0"/>
                                    <w:bottom w:val="nil"/>
                                    <w:right w:val="nil"/>
                                  </w:tcBorders>
                                  <w:shd w:val="clear" w:color="auto" w:fill="auto"/>
                                  <w:tcMar>
                                    <w:top w:type="dxa" w:w="80"/>
                                    <w:left w:type="dxa" w:w="80"/>
                                    <w:bottom w:type="dxa" w:w="80"/>
                                    <w:right w:type="dxa" w:w="80"/>
                                  </w:tcMar>
                                  <w:vAlign w:val="center"/>
                                </w:tcPr>
                                <w:p>
                                  <w:pPr>
                                    <w:pStyle w:val="Title"/>
                                    <w:jc w:val="center"/>
                                  </w:pPr>
                                  <w:r>
                                    <w:rPr>
                                      <w:rFonts w:ascii="Helvetica Neue UltraLight" w:hAnsi="Helvetica Neue UltraLight"/>
                                      <w:sz w:val="42"/>
                                      <w:szCs w:val="42"/>
                                      <w:rtl w:val="0"/>
                                    </w:rPr>
                                    <w:t>TASK DECLARATION</w:t>
                                  </w:r>
                                </w:p>
                              </w:tc>
                            </w:tr>
                          </w:tbl>
                        </w:txbxContent>
                      </wps:txbx>
                      <wps:bodyPr lIns="0" tIns="0" rIns="0" bIns="0">
                        <a:spAutoFit/>
                      </wps:bodyPr>
                    </wps:wsp>
                  </a:graphicData>
                </a:graphic>
              </wp:anchor>
            </w:drawing>
          </mc:Choice>
          <mc:Fallback>
            <w:pict>
              <v:shape id="_x0000_s1026" type="#_x0000_t202" style="visibility:visible;position:absolute;margin-left:60.1pt;margin-top:78.5pt;width:492.0pt;height:95.0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840" w:type="dxa"/>
                        <w:tblInd w:w="0" w:type="dxa"/>
                        <w:tblBorders>
                          <w:top w:val="dotted" w:color="919191" w:sz="6" w:space="0" w:shadow="0" w:frame="0"/>
                          <w:left w:val="single" w:color="919191" w:sz="2" w:space="0" w:shadow="0" w:frame="0"/>
                          <w:bottom w:val="dotted" w:color="919191" w:sz="6" w:space="0" w:shadow="0" w:frame="0"/>
                          <w:right w:val="single" w:color="919191" w:sz="2" w:space="0" w:shadow="0" w:frame="0"/>
                          <w:insideH w:val="single" w:color="919191" w:sz="2" w:space="0" w:shadow="0" w:frame="0"/>
                          <w:insideV w:val="single" w:color="919191" w:sz="2" w:space="0" w:shadow="0" w:frame="0"/>
                        </w:tblBorders>
                        <w:shd w:val="clear" w:color="auto" w:fill="auto"/>
                        <w:tblLayout w:type="fixed"/>
                      </w:tblPr>
                      <w:tblGrid>
                        <w:gridCol w:w="5248"/>
                        <w:gridCol w:w="4592"/>
                      </w:tblGrid>
                      <w:tr>
                        <w:tblPrEx>
                          <w:shd w:val="clear" w:color="auto" w:fill="auto"/>
                        </w:tblPrEx>
                        <w:trPr>
                          <w:trHeight w:val="1740" w:hRule="atLeast"/>
                        </w:trPr>
                        <w:tc>
                          <w:tcPr>
                            <w:tcW w:type="dxa" w:w="5248"/>
                            <w:tcBorders>
                              <w:top w:val="nil"/>
                              <w:left w:val="nil"/>
                              <w:bottom w:val="nil"/>
                              <w:right w:val="single" w:color="919191" w:sz="2" w:space="0" w:shadow="0" w:frame="0"/>
                            </w:tcBorders>
                            <w:shd w:val="clear" w:color="auto" w:fill="auto"/>
                            <w:tcMar>
                              <w:top w:type="dxa" w:w="80"/>
                              <w:left w:type="dxa" w:w="80"/>
                              <w:bottom w:type="dxa" w:w="80"/>
                              <w:right w:type="dxa" w:w="80"/>
                            </w:tcMar>
                            <w:vAlign w:val="top"/>
                          </w:tcPr>
                          <w:p>
                            <w:pPr>
                              <w:pStyle w:val="Default"/>
                              <w:bidi w:val="0"/>
                            </w:pPr>
                            <w:r>
                              <w:drawing>
                                <wp:inline distT="0" distB="0" distL="0" distR="0">
                                  <wp:extent cx="3339674" cy="1078159"/>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4">
                                            <a:extLst/>
                                          </a:blip>
                                          <a:stretch>
                                            <a:fillRect/>
                                          </a:stretch>
                                        </pic:blipFill>
                                        <pic:spPr>
                                          <a:xfrm>
                                            <a:off x="0" y="0"/>
                                            <a:ext cx="3339674" cy="1078159"/>
                                          </a:xfrm>
                                          <a:prstGeom prst="rect">
                                            <a:avLst/>
                                          </a:prstGeom>
                                          <a:effectLst/>
                                        </pic:spPr>
                                      </pic:pic>
                                    </a:graphicData>
                                  </a:graphic>
                                </wp:inline>
                              </w:drawing>
                            </w:r>
                          </w:p>
                        </w:tc>
                        <w:tc>
                          <w:tcPr>
                            <w:tcW w:type="dxa" w:w="4591"/>
                            <w:tcBorders>
                              <w:top w:val="nil"/>
                              <w:left w:val="single" w:color="919191" w:sz="2" w:space="0" w:shadow="0" w:frame="0"/>
                              <w:bottom w:val="nil"/>
                              <w:right w:val="nil"/>
                            </w:tcBorders>
                            <w:shd w:val="clear" w:color="auto" w:fill="auto"/>
                            <w:tcMar>
                              <w:top w:type="dxa" w:w="80"/>
                              <w:left w:type="dxa" w:w="80"/>
                              <w:bottom w:type="dxa" w:w="80"/>
                              <w:right w:type="dxa" w:w="80"/>
                            </w:tcMar>
                            <w:vAlign w:val="center"/>
                          </w:tcPr>
                          <w:p>
                            <w:pPr>
                              <w:pStyle w:val="Title"/>
                              <w:jc w:val="center"/>
                            </w:pPr>
                            <w:r>
                              <w:rPr>
                                <w:rFonts w:ascii="Helvetica Neue UltraLight" w:hAnsi="Helvetica Neue UltraLight"/>
                                <w:sz w:val="42"/>
                                <w:szCs w:val="42"/>
                                <w:rtl w:val="0"/>
                              </w:rPr>
                              <w:t>TASK DECLARATION</w:t>
                            </w:r>
                          </w:p>
                        </w:tc>
                      </w:tr>
                    </w:tbl>
                  </w:txbxContent>
                </v:textbox>
                <w10:wrap type="topAndBottom" side="bothSides" anchorx="page" anchory="page"/>
              </v:shape>
            </w:pict>
          </mc:Fallback>
        </mc:AlternateContent>
      </w:r>
      <w:r>
        <w:rPr>
          <w:rtl w:val="0"/>
        </w:rPr>
        <w:t xml:space="preserve">automatically from previously filled in IT0267 is simply paid to the employees. At the same time the same amount should be entered into the infotype IT0015 to be paid in the next regular payroll run, from which the off-cycle payment is going to be deducted. </w:t>
      </w:r>
    </w:p>
    <w:p>
      <w:pPr>
        <w:pStyle w:val="Body"/>
        <w:bidi w:val="0"/>
      </w:pPr>
      <w:r>
        <w:rPr>
          <w:rtl w:val="0"/>
        </w:rPr>
        <w:t>In case if IT0267 is not entered for some reason and off-cycle run not performed, the bonus will be normally paid during next regular payroll run (</w:t>
      </w:r>
      <w:r>
        <w:rPr>
          <w:u w:val="single"/>
          <w:rtl w:val="0"/>
          <w:lang w:val="en-US"/>
        </w:rPr>
        <w:t>ready to use workaround for factory N)</w:t>
      </w:r>
      <w:r>
        <w:rPr>
          <w:rtl w:val="0"/>
        </w:rPr>
        <w:t>.</w:t>
      </w:r>
    </w:p>
    <w:p>
      <w:pPr>
        <w:pStyle w:val="Body"/>
        <w:bidi w:val="0"/>
      </w:pPr>
      <w:r>
        <w:rPr>
          <w:rtl w:val="0"/>
        </w:rPr>
        <w:t>Taxes and gross-up are calculated during regular run, the standard function GRSUP, to be configured as a property of the bonus wage type.</w:t>
      </w:r>
    </w:p>
    <w:p>
      <w:pPr>
        <w:pStyle w:val="Body"/>
        <w:bidi w:val="0"/>
      </w:pPr>
      <w:r>
        <w:rPr>
          <w:rtl w:val="0"/>
        </w:rPr>
        <w:t xml:space="preserve">Both in the IT0267 and IT0015 data is entered automatically by standard programs, Mass generator of IT0267 </w:t>
      </w:r>
      <w:r>
        <w:rPr>
          <w:rtl w:val="0"/>
        </w:rPr>
        <w:t>HRUU0267</w:t>
      </w:r>
      <w:r>
        <w:rPr>
          <w:rtl w:val="0"/>
        </w:rPr>
        <w:t xml:space="preserve"> and transaction PA70 Fast entry with the report </w:t>
      </w:r>
      <w:r>
        <w:rPr>
          <w:rtl w:val="0"/>
        </w:rPr>
        <w:t>RPLFST00</w:t>
      </w:r>
      <w:r>
        <w:rPr>
          <w:rtl w:val="0"/>
        </w:rPr>
        <w:t xml:space="preserve"> to enable selection employees with a long list. </w:t>
      </w:r>
    </w:p>
    <w:p>
      <w:pPr>
        <w:pStyle w:val="Body"/>
        <w:bidi w:val="0"/>
      </w:pPr>
      <w:r>
        <w:rPr>
          <w:rtl w:val="0"/>
        </w:rPr>
        <w:t>A small ABAP development is seen necessary to fulfil the logic of determination the amount from organisational assignment  IT0001. This is seen as a stand-our separate development of the indirect valuation module - so that the amount is automatically derived on the date of infotype change and can be seen in IT0267 and IT0015, one module will work for both infotypes.</w:t>
      </w:r>
      <w:r>
        <w:rPr>
          <w:rFonts w:ascii="Arial Unicode MS" w:cs="Arial Unicode MS" w:hAnsi="Arial Unicode MS" w:eastAsia="Arial Unicode MS"/>
          <w:b w:val="0"/>
          <w:bCs w:val="0"/>
          <w:i w:val="0"/>
          <w:iCs w:val="0"/>
        </w:rPr>
        <w:br w:type="textWrapping"/>
      </w:r>
      <w:r>
        <w:rPr>
          <w:rtl w:val="0"/>
        </w:rPr>
        <w:t xml:space="preserve">Payslip forms to be slightly redesigned to comply with off-cycles so that employees can check the off-cycle payslip on the ESS portal. </w:t>
      </w:r>
    </w:p>
    <w:p>
      <w:pPr>
        <w:pStyle w:val="Body"/>
        <w:bidi w:val="0"/>
      </w:pPr>
    </w:p>
    <w:p>
      <w:pPr>
        <w:pStyle w:val="Body"/>
        <w:bidi w:val="0"/>
        <w:rPr>
          <w:rFonts w:ascii="Helvetica Neue" w:cs="Helvetica Neue" w:hAnsi="Helvetica Neue" w:eastAsia="Helvetica Neue"/>
          <w:b w:val="1"/>
          <w:bCs w:val="1"/>
        </w:rPr>
      </w:pPr>
      <w:r>
        <w:rPr>
          <w:rFonts w:ascii="Helvetica Neue" w:hAnsi="Helvetica Neue"/>
          <w:b w:val="1"/>
          <w:bCs w:val="1"/>
          <w:rtl w:val="0"/>
          <w:lang w:val="en-US"/>
        </w:rPr>
        <w:t>Process.</w:t>
      </w:r>
    </w:p>
    <w:p>
      <w:pPr>
        <w:pStyle w:val="Body"/>
        <w:bidi w:val="0"/>
      </w:pPr>
      <w:r>
        <w:rPr>
          <w:rtl w:val="0"/>
        </w:rPr>
        <w:t xml:space="preserve">The </w:t>
      </w:r>
      <w:r>
        <w:rPr>
          <w:rtl w:val="0"/>
        </w:rPr>
        <w:t>below</w:t>
      </w:r>
      <w:r>
        <w:rPr>
          <w:rtl w:val="0"/>
        </w:rPr>
        <w:t xml:space="preserve"> process to be </w:t>
      </w:r>
      <w:r>
        <w:rPr>
          <w:rtl w:val="0"/>
        </w:rPr>
        <w:t>implemented.</w:t>
      </w:r>
      <w:r>
        <w:drawing>
          <wp:anchor distT="152400" distB="152400" distL="152400" distR="152400" simplePos="0" relativeHeight="251660288" behindDoc="0" locked="0" layoutInCell="1" allowOverlap="1">
            <wp:simplePos x="0" y="0"/>
            <wp:positionH relativeFrom="margin">
              <wp:posOffset>-6350</wp:posOffset>
            </wp:positionH>
            <wp:positionV relativeFrom="line">
              <wp:posOffset>263047</wp:posOffset>
            </wp:positionV>
            <wp:extent cx="6248400" cy="5387758"/>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jpeg"/>
                    <pic:cNvPicPr>
                      <a:picLocks noChangeAspect="1"/>
                    </pic:cNvPicPr>
                  </pic:nvPicPr>
                  <pic:blipFill>
                    <a:blip r:embed="rId5">
                      <a:extLst/>
                    </a:blip>
                    <a:stretch>
                      <a:fillRect/>
                    </a:stretch>
                  </pic:blipFill>
                  <pic:spPr>
                    <a:xfrm>
                      <a:off x="0" y="0"/>
                      <a:ext cx="6248400" cy="5387758"/>
                    </a:xfrm>
                    <a:prstGeom prst="rect">
                      <a:avLst/>
                    </a:prstGeom>
                    <a:ln w="12700" cap="flat">
                      <a:noFill/>
                      <a:miter lim="400000"/>
                    </a:ln>
                    <a:effectLst/>
                  </pic:spPr>
                </pic:pic>
              </a:graphicData>
            </a:graphic>
          </wp:anchor>
        </w:drawing>
      </w:r>
    </w:p>
    <w:p>
      <w:pPr>
        <w:pStyle w:val="Body"/>
        <w:rPr>
          <w:rFonts w:ascii="Helvetica Neue" w:cs="Helvetica Neue" w:hAnsi="Helvetica Neue" w:eastAsia="Helvetica Neue"/>
          <w:b w:val="1"/>
          <w:bCs w:val="1"/>
        </w:rPr>
      </w:pPr>
      <w:r>
        <w:rPr>
          <w:rFonts w:ascii="Helvetica Neue" w:hAnsi="Helvetica Neue"/>
          <w:b w:val="1"/>
          <w:bCs w:val="1"/>
          <w:rtl w:val="0"/>
          <w:lang w:val="en-US"/>
        </w:rPr>
        <w:t>Configuration steps</w:t>
      </w:r>
    </w:p>
    <w:p>
      <w:pPr>
        <w:pStyle w:val="Table Style 2"/>
        <w:numPr>
          <w:ilvl w:val="0"/>
          <w:numId w:val="2"/>
        </w:numPr>
        <w:rPr>
          <w:lang w:val="en-US"/>
        </w:rPr>
      </w:pPr>
      <w:r>
        <w:rPr>
          <w:rtl w:val="0"/>
          <w:lang w:val="en-US"/>
        </w:rPr>
        <w:t>Create wage type. Configure it for appropriate EE subgroup groupings, for IT0015, 0267. Configure gross-up cumulation.</w:t>
      </w:r>
    </w:p>
    <w:p>
      <w:pPr>
        <w:pStyle w:val="Table Style 2"/>
        <w:numPr>
          <w:ilvl w:val="0"/>
          <w:numId w:val="2"/>
        </w:numPr>
        <w:rPr>
          <w:lang w:val="en-US"/>
        </w:rPr>
      </w:pPr>
      <w:r>
        <w:rPr>
          <w:rtl w:val="0"/>
          <w:lang w:val="en-US"/>
        </w:rPr>
        <w:t xml:space="preserve">Develop ABAP indirect valuation module. </w:t>
      </w:r>
    </w:p>
    <w:p>
      <w:pPr>
        <w:pStyle w:val="Table Style 2"/>
        <w:numPr>
          <w:ilvl w:val="0"/>
          <w:numId w:val="2"/>
        </w:numPr>
        <w:rPr>
          <w:lang w:val="en-US"/>
        </w:rPr>
      </w:pPr>
      <w:r>
        <w:rPr>
          <w:rtl w:val="0"/>
          <w:lang w:val="en-US"/>
        </w:rPr>
        <w:t>Configure off-cycle, new averages and gross-up.</w:t>
      </w:r>
    </w:p>
    <w:p>
      <w:pPr>
        <w:pStyle w:val="Table Style 2"/>
        <w:numPr>
          <w:ilvl w:val="0"/>
          <w:numId w:val="2"/>
        </w:numPr>
        <w:rPr>
          <w:lang w:val="en-US"/>
        </w:rPr>
      </w:pPr>
      <w:r>
        <w:rPr>
          <w:rtl w:val="0"/>
          <w:lang w:val="en-US"/>
        </w:rPr>
        <w:t>Update payslip to support off-cycles.</w:t>
      </w:r>
    </w:p>
    <w:p>
      <w:pPr>
        <w:pStyle w:val="Subtitle"/>
        <w:bidi w:val="0"/>
      </w:pPr>
      <w:r>
        <w:rPr>
          <w:rtl w:val="0"/>
        </w:rPr>
        <w:t>solution proposal</w:t>
      </w:r>
    </w:p>
    <w:p>
      <w:pPr>
        <w:pStyle w:val="Body"/>
        <w:bidi w:val="0"/>
      </w:pPr>
    </w:p>
    <w:p>
      <w:pPr>
        <w:pStyle w:val="Body"/>
        <w:bidi w:val="0"/>
      </w:pPr>
      <w:r>
        <w:rPr>
          <w:rtl w:val="0"/>
        </w:rPr>
        <w:t>ITertop proposes to implement the given recommendation by its own strength according to the below plan.</w:t>
      </w:r>
      <w:r>
        <w:rPr>
          <w:rFonts w:ascii="Arial Unicode MS" w:cs="Arial Unicode MS" w:hAnsi="Arial Unicode MS" w:eastAsia="Arial Unicode MS"/>
          <w:b w:val="0"/>
          <w:bCs w:val="0"/>
          <w:i w:val="0"/>
          <w:iCs w:val="0"/>
        </w:rPr>
        <w:br w:type="textWrapping"/>
      </w:r>
      <w:r>
        <w:rPr>
          <w:rtl w:val="0"/>
        </w:rPr>
        <w:t xml:space="preserve">Workload below is estimated in man-hours of an ITertop associate, </w:t>
      </w:r>
      <w:r>
        <w:rPr>
          <w:rtl w:val="0"/>
        </w:rPr>
        <w:t xml:space="preserve">paid </w:t>
      </w:r>
      <w:r>
        <w:rPr>
          <w:rtl w:val="0"/>
        </w:rPr>
        <w:t>on Time &amp; Materials basis</w:t>
      </w:r>
      <w:r>
        <w:rPr>
          <w:rFonts w:ascii="Helvetica Neue Light" w:cs="Helvetica Neue Light" w:hAnsi="Helvetica Neue Light" w:eastAsia="Helvetica Neue Light"/>
          <w:b w:val="0"/>
          <w:bCs w:val="0"/>
          <w:i w:val="0"/>
          <w:iCs w:val="0"/>
          <w:vertAlign w:val="superscript"/>
        </w:rPr>
        <w:footnoteReference w:id="1"/>
      </w:r>
      <w:r>
        <w:rPr>
          <w:rtl w:val="0"/>
        </w:rPr>
        <w:t>.</w:t>
      </w:r>
    </w:p>
    <w:tbl>
      <w:tblPr>
        <w:tblW w:w="9820" w:type="dxa"/>
        <w:jc w:val="left"/>
        <w:tblInd w:w="108" w:type="dxa"/>
        <w:tblBorders>
          <w:top w:val="dotted" w:color="919191" w:sz="6" w:space="0" w:shadow="0" w:frame="0"/>
          <w:left w:val="dotted" w:color="919191" w:sz="6" w:space="0" w:shadow="0" w:frame="0"/>
          <w:bottom w:val="dotted" w:color="919191" w:sz="6" w:space="0" w:shadow="0" w:frame="0"/>
          <w:right w:val="dotted" w:color="919191" w:sz="6" w:space="0" w:shadow="0" w:frame="0"/>
          <w:insideH w:val="single" w:color="919191" w:sz="2" w:space="0" w:shadow="0" w:frame="0"/>
          <w:insideV w:val="single" w:color="919191" w:sz="2" w:space="0" w:shadow="0" w:frame="0"/>
        </w:tblBorders>
        <w:shd w:val="clear" w:color="auto" w:fill="auto"/>
        <w:tblLayout w:type="fixed"/>
      </w:tblPr>
      <w:tblGrid>
        <w:gridCol w:w="1569"/>
        <w:gridCol w:w="3231"/>
        <w:gridCol w:w="4149"/>
        <w:gridCol w:w="871"/>
      </w:tblGrid>
      <w:tr>
        <w:tblPrEx>
          <w:shd w:val="clear" w:color="auto" w:fill="357ca2"/>
        </w:tblPrEx>
        <w:trPr>
          <w:trHeight w:val="482" w:hRule="atLeast"/>
          <w:tblHeader/>
        </w:trPr>
        <w:tc>
          <w:tcPr>
            <w:tcW w:type="dxa" w:w="1569"/>
            <w:tcBorders>
              <w:top w:val="single" w:color="919191" w:sz="2" w:space="0" w:shadow="0" w:frame="0"/>
              <w:left w:val="single" w:color="919191"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jc w:val="center"/>
            </w:pPr>
            <w:r>
              <w:rPr>
                <w:rFonts w:ascii="Helvetica Neue" w:hAnsi="Helvetica Neue"/>
                <w:rtl w:val="0"/>
              </w:rPr>
              <w:t>Phase</w:t>
            </w:r>
          </w:p>
        </w:tc>
        <w:tc>
          <w:tcPr>
            <w:tcW w:type="dxa" w:w="3231"/>
            <w:tcBorders>
              <w:top w:val="single" w:color="919191" w:sz="2" w:space="0" w:shadow="0" w:frame="0"/>
              <w:left w:val="single" w:color="214e66"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jc w:val="center"/>
            </w:pPr>
            <w:r>
              <w:rPr>
                <w:rFonts w:ascii="Helvetica Neue" w:hAnsi="Helvetica Neue"/>
                <w:rtl w:val="0"/>
              </w:rPr>
              <w:t>Actions</w:t>
            </w:r>
          </w:p>
        </w:tc>
        <w:tc>
          <w:tcPr>
            <w:tcW w:type="dxa" w:w="4149"/>
            <w:tcBorders>
              <w:top w:val="single" w:color="919191" w:sz="2" w:space="0" w:shadow="0" w:frame="0"/>
              <w:left w:val="single" w:color="214e66"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jc w:val="center"/>
            </w:pPr>
            <w:r>
              <w:rPr>
                <w:rtl w:val="0"/>
                <w:lang w:val="en-US"/>
              </w:rPr>
              <w:t>Deliverables</w:t>
            </w:r>
          </w:p>
          <w:p>
            <w:pPr>
              <w:pStyle w:val="Table Style 1"/>
              <w:tabs>
                <w:tab w:val="clear" w:pos="1267"/>
                <w:tab w:val="clear" w:pos="1333"/>
              </w:tabs>
              <w:spacing w:before="0" w:line="240" w:lineRule="auto"/>
              <w:jc w:val="center"/>
            </w:pPr>
            <w:r>
              <w:rPr>
                <w:rtl w:val="0"/>
                <w:lang w:val="en-US"/>
              </w:rPr>
              <w:t xml:space="preserve">(documentation </w:t>
            </w:r>
            <w:r>
              <w:rPr>
                <w:u w:val="single"/>
                <w:rtl w:val="0"/>
                <w:lang w:val="en-US"/>
              </w:rPr>
              <w:t>underlined</w:t>
            </w:r>
            <w:r>
              <w:rPr>
                <w:rtl w:val="0"/>
                <w:lang w:val="en-US"/>
              </w:rPr>
              <w:t>)</w:t>
            </w:r>
          </w:p>
        </w:tc>
        <w:tc>
          <w:tcPr>
            <w:tcW w:type="dxa" w:w="870"/>
            <w:tcBorders>
              <w:top w:val="single" w:color="919191" w:sz="2" w:space="0" w:shadow="0" w:frame="0"/>
              <w:left w:val="single" w:color="214e66" w:sz="2" w:space="0" w:shadow="0" w:frame="0"/>
              <w:bottom w:val="single" w:color="000000" w:sz="4" w:space="0" w:shadow="0" w:frame="0"/>
              <w:right w:val="single" w:color="919191"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jc w:val="center"/>
            </w:pPr>
            <w:r>
              <w:rPr>
                <w:rFonts w:ascii="Helvetica Neue" w:hAnsi="Helvetica Neue"/>
                <w:rtl w:val="0"/>
              </w:rPr>
              <w:t>Load</w:t>
            </w:r>
          </w:p>
        </w:tc>
      </w:tr>
      <w:tr>
        <w:tblPrEx>
          <w:shd w:val="clear" w:color="auto" w:fill="auto"/>
        </w:tblPrEx>
        <w:trPr>
          <w:trHeight w:val="727" w:hRule="atLeast"/>
        </w:trPr>
        <w:tc>
          <w:tcPr>
            <w:tcW w:type="dxa" w:w="1569"/>
            <w:tcBorders>
              <w:top w:val="single" w:color="000000" w:sz="4"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Fonts w:ascii="Helvetica Neue Light" w:hAnsi="Helvetica Neue Light"/>
                <w:rtl w:val="0"/>
              </w:rPr>
              <w:t>Identification</w:t>
            </w:r>
          </w:p>
        </w:tc>
        <w:tc>
          <w:tcPr>
            <w:tcW w:type="dxa" w:w="3231"/>
            <w:tcBorders>
              <w:top w:val="single" w:color="000000" w:sz="4"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3"/>
              </w:numPr>
              <w:rPr>
                <w:lang w:val="en-US"/>
              </w:rPr>
            </w:pPr>
            <w:r>
              <w:rPr>
                <w:rtl w:val="0"/>
                <w:lang w:val="en-US"/>
              </w:rPr>
              <w:t>interviews</w:t>
            </w:r>
          </w:p>
          <w:p>
            <w:pPr>
              <w:pStyle w:val="Table Style 2"/>
              <w:numPr>
                <w:ilvl w:val="0"/>
                <w:numId w:val="3"/>
              </w:numPr>
              <w:rPr>
                <w:lang w:val="en-US"/>
              </w:rPr>
            </w:pPr>
            <w:r>
              <w:rPr>
                <w:rtl w:val="0"/>
                <w:lang w:val="en-US"/>
              </w:rPr>
              <w:t>a</w:t>
            </w:r>
            <w:r>
              <w:rPr>
                <w:rtl w:val="0"/>
                <w:lang w:val="en-US"/>
              </w:rPr>
              <w:t>nalysis</w:t>
            </w:r>
          </w:p>
          <w:p>
            <w:pPr>
              <w:pStyle w:val="Table Style 2"/>
              <w:numPr>
                <w:ilvl w:val="0"/>
                <w:numId w:val="3"/>
              </w:numPr>
              <w:rPr>
                <w:lang w:val="en-US"/>
              </w:rPr>
            </w:pPr>
            <w:r>
              <w:rPr>
                <w:rtl w:val="0"/>
                <w:lang w:val="en-US"/>
              </w:rPr>
              <w:t>preliminary solution plan</w:t>
            </w:r>
          </w:p>
        </w:tc>
        <w:tc>
          <w:tcPr>
            <w:tcW w:type="dxa" w:w="4149"/>
            <w:tcBorders>
              <w:top w:val="single" w:color="000000" w:sz="4"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tl w:val="0"/>
                <w:lang w:val="en-US"/>
              </w:rPr>
              <w:t xml:space="preserve">The current </w:t>
            </w:r>
            <w:r>
              <w:rPr>
                <w:u w:val="single"/>
                <w:rtl w:val="0"/>
                <w:lang w:val="en-US"/>
              </w:rPr>
              <w:t>Task Declaration</w:t>
            </w:r>
            <w:r>
              <w:rPr>
                <w:u w:val="single"/>
                <w:rtl w:val="0"/>
              </w:rPr>
              <w:t xml:space="preserve"> Document</w:t>
            </w:r>
            <w:r>
              <w:rPr>
                <w:rtl w:val="0"/>
                <w:lang w:val="en-US"/>
              </w:rPr>
              <w:t>, completed</w:t>
            </w:r>
          </w:p>
        </w:tc>
        <w:tc>
          <w:tcPr>
            <w:tcW w:type="dxa" w:w="870"/>
            <w:tcBorders>
              <w:top w:val="single" w:color="000000" w:sz="4"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gratis</w:t>
            </w:r>
          </w:p>
        </w:tc>
      </w:tr>
      <w:tr>
        <w:tblPrEx>
          <w:shd w:val="clear" w:color="auto" w:fill="auto"/>
        </w:tblPrEx>
        <w:trPr>
          <w:trHeight w:val="255"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Fonts w:ascii="Helvetica Neue Light" w:hAnsi="Helvetica Neue Light"/>
                <w:rtl w:val="0"/>
              </w:rPr>
              <w:t>Preparation</w:t>
            </w: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4"/>
              </w:numPr>
              <w:rPr>
                <w:lang w:val="en-US"/>
              </w:rPr>
            </w:pPr>
            <w:r>
              <w:rPr>
                <w:rtl w:val="0"/>
                <w:lang w:val="en-US"/>
              </w:rPr>
              <w:t>contract communication</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5"/>
              </w:numPr>
              <w:rPr>
                <w:lang w:val="en-US"/>
              </w:rPr>
            </w:pPr>
            <w:r>
              <w:rPr>
                <w:rtl w:val="0"/>
                <w:lang w:val="en-US"/>
              </w:rPr>
              <w:t xml:space="preserve">the </w:t>
            </w:r>
            <w:r>
              <w:rPr>
                <w:u w:val="single"/>
                <w:rtl w:val="0"/>
                <w:lang w:val="en-US"/>
              </w:rPr>
              <w:t>C</w:t>
            </w:r>
            <w:r>
              <w:rPr>
                <w:u w:val="single"/>
                <w:rtl w:val="0"/>
                <w:lang w:val="en-US"/>
              </w:rPr>
              <w:t>ontrac</w:t>
            </w:r>
            <w:r>
              <w:rPr>
                <w:u w:val="single"/>
                <w:rtl w:val="0"/>
                <w:lang w:val="en-US"/>
              </w:rPr>
              <w:t>t</w:t>
            </w:r>
            <w:r>
              <w:rPr>
                <w:rtl w:val="0"/>
                <w:lang w:val="en-US"/>
              </w:rPr>
              <w:t xml:space="preserve">, </w:t>
            </w:r>
            <w:r>
              <w:rPr>
                <w:rtl w:val="0"/>
                <w:lang w:val="en-US"/>
              </w:rPr>
              <w:t>signed</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gratis</w:t>
            </w:r>
          </w:p>
        </w:tc>
      </w:tr>
      <w:tr>
        <w:tblPrEx>
          <w:shd w:val="clear" w:color="auto" w:fill="auto"/>
        </w:tblPrEx>
        <w:trPr>
          <w:trHeight w:val="1209"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6"/>
              </w:numPr>
              <w:rPr>
                <w:lang w:val="en-US"/>
              </w:rPr>
            </w:pPr>
            <w:r>
              <w:rPr>
                <w:rtl w:val="0"/>
                <w:lang w:val="en-US"/>
              </w:rPr>
              <w:t>user availability, test and training plans</w:t>
            </w:r>
          </w:p>
          <w:p>
            <w:pPr>
              <w:pStyle w:val="Table Style 2"/>
              <w:numPr>
                <w:ilvl w:val="0"/>
                <w:numId w:val="6"/>
              </w:numPr>
              <w:rPr>
                <w:lang w:val="en-US"/>
              </w:rPr>
            </w:pPr>
            <w:r>
              <w:rPr>
                <w:rtl w:val="0"/>
                <w:lang w:val="en-US"/>
              </w:rPr>
              <w:t>agree with Basis team on imports</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7"/>
              </w:numPr>
              <w:rPr>
                <w:lang w:val="en-US"/>
              </w:rPr>
            </w:pPr>
            <w:r>
              <w:rPr>
                <w:u w:val="single"/>
                <w:rtl w:val="0"/>
                <w:lang w:val="en-US"/>
              </w:rPr>
              <w:t>Service Request Document</w:t>
            </w:r>
            <w:r>
              <w:rPr>
                <w:rtl w:val="0"/>
                <w:lang w:val="en-US"/>
              </w:rPr>
              <w:t>, with the process owners specified and other details</w:t>
            </w:r>
          </w:p>
          <w:p>
            <w:pPr>
              <w:pStyle w:val="Table Style 2"/>
              <w:numPr>
                <w:ilvl w:val="0"/>
                <w:numId w:val="7"/>
              </w:numPr>
              <w:rPr>
                <w:lang w:val="en-US"/>
              </w:rPr>
            </w:pPr>
            <w:r>
              <w:rPr>
                <w:u w:val="single"/>
                <w:rtl w:val="0"/>
                <w:lang w:val="en-US"/>
              </w:rPr>
              <w:t>Solution Plan</w:t>
            </w:r>
            <w:r>
              <w:rPr>
                <w:rtl w:val="0"/>
                <w:lang w:val="en-US"/>
              </w:rPr>
              <w:t xml:space="preserve"> including testing dates, user communication schedule, import schedule, and first production run</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6h</w:t>
            </w:r>
          </w:p>
        </w:tc>
      </w:tr>
      <w:tr>
        <w:tblPrEx>
          <w:shd w:val="clear" w:color="auto" w:fill="auto"/>
        </w:tblPrEx>
        <w:trPr>
          <w:trHeight w:val="489"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Fonts w:ascii="Helvetica Neue Light" w:hAnsi="Helvetica Neue Light"/>
                <w:rtl w:val="0"/>
              </w:rPr>
              <w:t>Communication with the N factory accountants on separate workshop</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8"/>
              </w:numPr>
              <w:rPr>
                <w:lang w:val="en-US"/>
              </w:rPr>
            </w:pPr>
            <w:r>
              <w:rPr>
                <w:rtl w:val="0"/>
                <w:lang w:val="en-US"/>
              </w:rPr>
              <w:t>agreement on the workshop dates where the process to be explained</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2h</w:t>
            </w:r>
          </w:p>
        </w:tc>
      </w:tr>
      <w:tr>
        <w:tblPrEx>
          <w:shd w:val="clear" w:color="auto" w:fill="auto"/>
        </w:tblPrEx>
        <w:trPr>
          <w:trHeight w:val="255"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Fonts w:ascii="Helvetica Neue Light" w:hAnsi="Helvetica Neue Light"/>
                <w:rtl w:val="0"/>
              </w:rPr>
              <w:t>Realization</w:t>
            </w: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9"/>
              </w:numPr>
              <w:rPr>
                <w:lang w:val="en-US"/>
              </w:rPr>
            </w:pPr>
            <w:r>
              <w:rPr>
                <w:rtl w:val="0"/>
                <w:lang w:val="en-US"/>
              </w:rPr>
              <w:t>System configuration</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0"/>
              </w:numPr>
              <w:rPr>
                <w:u w:val="single"/>
                <w:lang w:val="en-US"/>
              </w:rPr>
            </w:pPr>
            <w:r>
              <w:rPr>
                <w:u w:val="single"/>
                <w:rtl w:val="0"/>
                <w:lang w:val="en-US"/>
              </w:rPr>
              <w:t>Configuration Description Document</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24h</w:t>
            </w:r>
          </w:p>
        </w:tc>
      </w:tr>
      <w:tr>
        <w:tblPrEx>
          <w:shd w:val="clear" w:color="auto" w:fill="auto"/>
        </w:tblPrEx>
        <w:trPr>
          <w:trHeight w:val="255"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1"/>
              </w:numPr>
              <w:rPr>
                <w:lang w:val="en-US"/>
              </w:rPr>
            </w:pPr>
            <w:r>
              <w:rPr>
                <w:rtl w:val="0"/>
                <w:lang w:val="en-US"/>
              </w:rPr>
              <w:t xml:space="preserve">Unit test </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2"/>
              </w:numPr>
              <w:rPr>
                <w:u w:val="single"/>
                <w:lang w:val="en-US"/>
              </w:rPr>
            </w:pPr>
            <w:r>
              <w:rPr>
                <w:u w:val="single"/>
                <w:rtl w:val="0"/>
                <w:lang w:val="en-US"/>
              </w:rPr>
              <w:t>Test scenarios</w:t>
            </w:r>
            <w:r>
              <w:rPr>
                <w:u w:val="none"/>
                <w:rtl w:val="0"/>
                <w:lang w:val="en-US"/>
              </w:rPr>
              <w:t xml:space="preserve"> (off-cycle and regular)</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2h</w:t>
            </w:r>
          </w:p>
        </w:tc>
      </w:tr>
      <w:tr>
        <w:tblPrEx>
          <w:shd w:val="clear" w:color="auto" w:fill="auto"/>
        </w:tblPrEx>
        <w:trPr>
          <w:trHeight w:val="729"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3"/>
              </w:numPr>
              <w:rPr>
                <w:lang w:val="en-US"/>
              </w:rPr>
            </w:pPr>
            <w:r>
              <w:rPr>
                <w:rtl w:val="0"/>
                <w:lang w:val="en-US"/>
              </w:rPr>
              <w:t>import to quality system QAS on successful in DEV</w:t>
            </w:r>
          </w:p>
          <w:p>
            <w:pPr>
              <w:pStyle w:val="Table Style 2"/>
              <w:numPr>
                <w:ilvl w:val="0"/>
                <w:numId w:val="13"/>
              </w:numPr>
              <w:rPr>
                <w:lang w:val="en-US"/>
              </w:rPr>
            </w:pPr>
            <w:r>
              <w:rPr>
                <w:rtl w:val="0"/>
                <w:lang w:val="en-US"/>
              </w:rPr>
              <w:t>HR/payroll training (QAS)</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4"/>
              </w:numPr>
              <w:rPr>
                <w:lang w:val="en-US"/>
              </w:rPr>
            </w:pPr>
            <w:r>
              <w:rPr>
                <w:u w:val="single"/>
                <w:rtl w:val="0"/>
                <w:lang w:val="en-US"/>
              </w:rPr>
              <w:t>User Manual</w:t>
            </w:r>
            <w:r>
              <w:rPr>
                <w:rtl w:val="0"/>
              </w:rPr>
              <w:t xml:space="preserve"> sign-off</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4h</w:t>
            </w:r>
          </w:p>
        </w:tc>
      </w:tr>
      <w:tr>
        <w:tblPrEx>
          <w:shd w:val="clear" w:color="auto" w:fill="auto"/>
        </w:tblPrEx>
        <w:trPr>
          <w:trHeight w:val="255"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5"/>
              </w:numPr>
              <w:rPr>
                <w:lang w:val="en-US"/>
              </w:rPr>
            </w:pPr>
            <w:r>
              <w:rPr>
                <w:rtl w:val="0"/>
                <w:lang w:val="en-US"/>
              </w:rPr>
              <w:t>user acceptance testing (QAS)</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6"/>
              </w:numPr>
              <w:rPr>
                <w:lang w:val="en-US"/>
              </w:rPr>
            </w:pPr>
            <w:r>
              <w:rPr>
                <w:rtl w:val="0"/>
                <w:lang w:val="en-US"/>
              </w:rPr>
              <w:t xml:space="preserve">UAT </w:t>
            </w:r>
            <w:r>
              <w:rPr>
                <w:rtl w:val="0"/>
              </w:rPr>
              <w:t>sign-off</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2h</w:t>
            </w:r>
          </w:p>
        </w:tc>
      </w:tr>
      <w:tr>
        <w:tblPrEx>
          <w:shd w:val="clear" w:color="auto" w:fill="auto"/>
        </w:tblPrEx>
        <w:trPr>
          <w:trHeight w:val="255"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7"/>
              </w:numPr>
              <w:rPr>
                <w:lang w:val="en-US"/>
              </w:rPr>
            </w:pPr>
            <w:r>
              <w:rPr>
                <w:rtl w:val="0"/>
                <w:lang w:val="en-US"/>
              </w:rPr>
              <w:t xml:space="preserve">bank penny test (QAS) </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8"/>
              </w:numPr>
              <w:rPr>
                <w:lang w:val="en-US"/>
              </w:rPr>
            </w:pPr>
            <w:r>
              <w:rPr>
                <w:rtl w:val="0"/>
                <w:lang w:val="en-US"/>
              </w:rPr>
              <w:t>successful penny test</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2h</w:t>
            </w:r>
          </w:p>
        </w:tc>
      </w:tr>
      <w:tr>
        <w:tblPrEx>
          <w:shd w:val="clear" w:color="auto" w:fill="auto"/>
        </w:tblPrEx>
        <w:trPr>
          <w:trHeight w:val="729" w:hRule="atLeast"/>
        </w:trPr>
        <w:tc>
          <w:tcPr>
            <w:tcW w:type="dxa" w:w="1569"/>
            <w:tcBorders>
              <w:top w:val="dotted" w:color="919191" w:sz="6" w:space="0" w:shadow="0" w:frame="0"/>
              <w:left w:val="single" w:color="919191" w:sz="2"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3231"/>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19"/>
              </w:numPr>
              <w:rPr>
                <w:lang w:val="en-US"/>
              </w:rPr>
            </w:pPr>
            <w:r>
              <w:rPr>
                <w:rtl w:val="0"/>
                <w:lang w:val="en-US"/>
              </w:rPr>
              <w:t>preparation of pros&amp;cons matrix</w:t>
            </w:r>
          </w:p>
          <w:p>
            <w:pPr>
              <w:pStyle w:val="Table Style 2"/>
              <w:numPr>
                <w:ilvl w:val="0"/>
                <w:numId w:val="19"/>
              </w:numPr>
              <w:rPr>
                <w:lang w:val="en-US"/>
              </w:rPr>
            </w:pPr>
            <w:r>
              <w:rPr>
                <w:rtl w:val="0"/>
                <w:lang w:val="en-US"/>
              </w:rPr>
              <w:t>communication with the N factory accountants</w:t>
            </w:r>
          </w:p>
        </w:tc>
        <w:tc>
          <w:tcPr>
            <w:tcW w:type="dxa" w:w="4149"/>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20"/>
              </w:numPr>
              <w:rPr>
                <w:lang w:val="en-US"/>
              </w:rPr>
            </w:pPr>
            <w:r>
              <w:rPr>
                <w:rtl w:val="0"/>
                <w:lang w:val="en-US"/>
              </w:rPr>
              <w:t xml:space="preserve">agreement on usage off-cycle or workaround </w:t>
            </w:r>
          </w:p>
        </w:tc>
        <w:tc>
          <w:tcPr>
            <w:tcW w:type="dxa" w:w="870"/>
            <w:tcBorders>
              <w:top w:val="dotted" w:color="919191" w:sz="6" w:space="0" w:shadow="0" w:frame="0"/>
              <w:left w:val="dotted" w:color="919191" w:sz="6" w:space="0" w:shadow="0" w:frame="0"/>
              <w:bottom w:val="dotted" w:color="919191" w:sz="6"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4h</w:t>
            </w:r>
          </w:p>
        </w:tc>
      </w:tr>
      <w:tr>
        <w:tblPrEx>
          <w:shd w:val="clear" w:color="auto" w:fill="auto"/>
        </w:tblPrEx>
        <w:trPr>
          <w:trHeight w:val="967" w:hRule="atLeast"/>
        </w:trPr>
        <w:tc>
          <w:tcPr>
            <w:tcW w:type="dxa" w:w="1569"/>
            <w:tcBorders>
              <w:top w:val="dotted" w:color="919191" w:sz="6" w:space="0" w:shadow="0" w:frame="0"/>
              <w:left w:val="single" w:color="919191" w:sz="2"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Fonts w:ascii="Helvetica Neue Light" w:hAnsi="Helvetica Neue Light"/>
                <w:rtl w:val="0"/>
              </w:rPr>
              <w:t>Deployment</w:t>
            </w:r>
          </w:p>
        </w:tc>
        <w:tc>
          <w:tcPr>
            <w:tcW w:type="dxa" w:w="3231"/>
            <w:tcBorders>
              <w:top w:val="dotted" w:color="919191" w:sz="6"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21"/>
              </w:numPr>
              <w:rPr>
                <w:lang w:val="en-US"/>
              </w:rPr>
            </w:pPr>
            <w:r>
              <w:rPr>
                <w:rtl w:val="0"/>
                <w:lang w:val="en-US"/>
              </w:rPr>
              <w:t>import to production</w:t>
            </w:r>
          </w:p>
          <w:p>
            <w:pPr>
              <w:pStyle w:val="Table Style 2"/>
              <w:numPr>
                <w:ilvl w:val="0"/>
                <w:numId w:val="21"/>
              </w:numPr>
              <w:rPr>
                <w:lang w:val="en-US"/>
              </w:rPr>
            </w:pPr>
            <w:r>
              <w:rPr>
                <w:rtl w:val="0"/>
                <w:lang w:val="en-US"/>
              </w:rPr>
              <w:t>final test</w:t>
            </w:r>
          </w:p>
          <w:p>
            <w:pPr>
              <w:pStyle w:val="Table Style 2"/>
              <w:numPr>
                <w:ilvl w:val="0"/>
                <w:numId w:val="21"/>
              </w:numPr>
              <w:rPr>
                <w:lang w:val="en-US"/>
              </w:rPr>
            </w:pPr>
            <w:r>
              <w:rPr>
                <w:rtl w:val="0"/>
                <w:lang w:val="en-US"/>
              </w:rPr>
              <w:t>support during 1st production use</w:t>
            </w:r>
          </w:p>
        </w:tc>
        <w:tc>
          <w:tcPr>
            <w:tcW w:type="dxa" w:w="4149"/>
            <w:tcBorders>
              <w:top w:val="dotted" w:color="919191" w:sz="6"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numPr>
                <w:ilvl w:val="0"/>
                <w:numId w:val="22"/>
              </w:numPr>
              <w:rPr>
                <w:lang w:val="en-US"/>
              </w:rPr>
            </w:pPr>
            <w:r>
              <w:rPr>
                <w:rtl w:val="0"/>
                <w:lang w:val="en-US"/>
              </w:rPr>
              <w:t>client final approval</w:t>
            </w:r>
          </w:p>
        </w:tc>
        <w:tc>
          <w:tcPr>
            <w:tcW w:type="dxa" w:w="870"/>
            <w:tcBorders>
              <w:top w:val="dotted" w:color="919191" w:sz="6" w:space="0" w:shadow="0" w:frame="0"/>
              <w:left w:val="dotted" w:color="919191" w:sz="6" w:space="0" w:shadow="0" w:frame="0"/>
              <w:bottom w:val="single" w:color="000000" w:sz="4"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jc w:val="right"/>
            </w:pPr>
            <w:r>
              <w:rPr>
                <w:rFonts w:ascii="Helvetica Neue Light" w:hAnsi="Helvetica Neue Light"/>
                <w:rtl w:val="0"/>
              </w:rPr>
              <w:t>4h</w:t>
            </w:r>
          </w:p>
        </w:tc>
      </w:tr>
      <w:tr>
        <w:tblPrEx>
          <w:shd w:val="clear" w:color="auto" w:fill="auto"/>
        </w:tblPrEx>
        <w:trPr>
          <w:trHeight w:val="250" w:hRule="atLeast"/>
        </w:trPr>
        <w:tc>
          <w:tcPr>
            <w:tcW w:type="dxa" w:w="1569"/>
            <w:tcBorders>
              <w:top w:val="single" w:color="000000" w:sz="4" w:space="0" w:shadow="0" w:frame="0"/>
              <w:left w:val="single" w:color="919191" w:sz="2"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3"/>
              <w:tabs>
                <w:tab w:val="clear" w:pos="1267"/>
                <w:tab w:val="clear" w:pos="1333"/>
              </w:tabs>
            </w:pPr>
            <w:r>
              <w:rPr>
                <w:rtl w:val="0"/>
              </w:rPr>
              <w:t>Total</w:t>
            </w:r>
          </w:p>
        </w:tc>
        <w:tc>
          <w:tcPr>
            <w:tcW w:type="dxa" w:w="3231"/>
            <w:tcBorders>
              <w:top w:val="single" w:color="000000" w:sz="4"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4149"/>
            <w:tcBorders>
              <w:top w:val="single" w:color="000000" w:sz="4"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dotted" w:color="919191" w:sz="6" w:space="0" w:shadow="0" w:frame="0"/>
              <w:bottom w:val="single" w:color="000000" w:sz="4" w:space="0" w:shadow="0" w:frame="0"/>
              <w:right w:val="single" w:color="919191" w:sz="2" w:space="0" w:shadow="0" w:frame="0"/>
            </w:tcBorders>
            <w:shd w:val="clear" w:color="auto" w:fill="auto"/>
            <w:tcMar>
              <w:top w:type="dxa" w:w="80"/>
              <w:left w:type="dxa" w:w="80"/>
              <w:bottom w:type="dxa" w:w="80"/>
              <w:right w:type="dxa" w:w="80"/>
            </w:tcMar>
            <w:vAlign w:val="top"/>
          </w:tcPr>
          <w:p>
            <w:pPr>
              <w:pStyle w:val="Table Style 3"/>
              <w:tabs>
                <w:tab w:val="clear" w:pos="1267"/>
                <w:tab w:val="clear" w:pos="1333"/>
              </w:tabs>
              <w:jc w:val="right"/>
            </w:pPr>
            <w:r>
              <w:rPr/>
              <w:fldChar w:fldCharType="begin" w:fldLock="0"/>
            </w:r>
            <w:r>
              <w:instrText xml:space="preserve"> = SUM(D2:D12) \* MERGEFORMAT</w:instrText>
            </w:r>
            <w:r>
              <w:rPr/>
              <w:fldChar w:fldCharType="separate" w:fldLock="0"/>
            </w:r>
            <w:r>
              <w:rPr>
                <w:rFonts w:ascii="Helvetica Neue" w:hAnsi="Helvetica Neue"/>
                <w:rtl w:val="0"/>
              </w:rPr>
              <w:t>50h</w:t>
            </w:r>
            <w:r>
              <w:rPr/>
              <w:fldChar w:fldCharType="end" w:fldLock="0"/>
            </w:r>
          </w:p>
        </w:tc>
      </w:tr>
    </w:tbl>
    <w:p>
      <w:pPr>
        <w:pStyle w:val="Body"/>
        <w:bidi w:val="0"/>
      </w:pPr>
    </w:p>
    <w:sectPr>
      <w:headerReference w:type="default" r:id="rId6"/>
      <w:footerReference w:type="default" r:id="rId7"/>
      <w:pgSz w:w="12240" w:h="15840" w:orient="portrait"/>
      <w:pgMar w:top="2520" w:right="1200" w:bottom="1800" w:left="120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Medium">
    <w:charset w:val="00"/>
    <w:family w:val="roman"/>
    <w:pitch w:val="default"/>
  </w:font>
  <w:font w:name="Helvetica Neue">
    <w:charset w:val="00"/>
    <w:family w:val="roman"/>
    <w:pitch w:val="default"/>
  </w:font>
  <w:font w:name="Capitals">
    <w:charset w:val="00"/>
    <w:family w:val="roman"/>
    <w:pitch w:val="default"/>
  </w:font>
  <w:font w:name="Helvetica Neue Light">
    <w:charset w:val="00"/>
    <w:family w:val="roman"/>
    <w:pitch w:val="default"/>
  </w:font>
  <w:font w:name="Helvetica Neue Ultra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Workload</w:t>
      </w:r>
      <w:r>
        <w:rPr>
          <w:rFonts w:cs="Arial Unicode MS" w:eastAsia="Arial Unicode MS"/>
          <w:rtl w:val="0"/>
          <w:lang w:val="en-US"/>
        </w:rPr>
        <w:t xml:space="preserve"> is preliminary estimat</w:t>
      </w:r>
      <w:r>
        <w:rPr>
          <w:rFonts w:cs="Arial Unicode MS" w:eastAsia="Arial Unicode MS"/>
          <w:rtl w:val="0"/>
          <w:lang w:val="en-US"/>
        </w:rPr>
        <w:t>ed using the currently available information</w:t>
      </w:r>
      <w:r>
        <w:rPr>
          <w:rFonts w:cs="Arial Unicode MS" w:eastAsia="Arial Unicode MS"/>
          <w:rtl w:val="0"/>
          <w:lang w:val="en-US"/>
        </w:rPr>
        <w:t xml:space="preserve"> and can be changed </w:t>
      </w:r>
      <w:r>
        <w:rPr>
          <w:rFonts w:cs="Arial Unicode MS" w:eastAsia="Arial Unicode MS"/>
          <w:rtl w:val="0"/>
          <w:lang w:val="en-US"/>
        </w:rPr>
        <w:t xml:space="preserve">later on </w:t>
      </w:r>
      <w:r>
        <w:rPr>
          <w:rFonts w:cs="Arial Unicode MS" w:eastAsia="Arial Unicode MS"/>
          <w:rtl w:val="0"/>
          <w:lang w:val="en-US"/>
        </w:rPr>
        <w:t>a reasonable basis (</w:t>
      </w:r>
      <w:r>
        <w:rPr>
          <w:rFonts w:cs="Arial Unicode MS" w:eastAsia="Arial Unicode MS"/>
          <w:rtl w:val="0"/>
          <w:lang w:val="en-US"/>
        </w:rPr>
        <w:t>e.g.</w:t>
      </w:r>
      <w:r>
        <w:rPr>
          <w:rFonts w:cs="Arial Unicode MS" w:eastAsia="Arial Unicode MS"/>
          <w:rtl w:val="0"/>
          <w:lang w:val="en-US"/>
        </w:rPr>
        <w:t xml:space="preserve"> updates </w:t>
      </w:r>
      <w:r>
        <w:rPr>
          <w:rFonts w:cs="Arial Unicode MS" w:eastAsia="Arial Unicode MS"/>
          <w:rtl w:val="0"/>
          <w:lang w:val="en-US"/>
        </w:rPr>
        <w:t xml:space="preserve">of the </w:t>
      </w:r>
      <w:r>
        <w:rPr>
          <w:rFonts w:cs="Arial Unicode MS" w:eastAsia="Arial Unicode MS"/>
          <w:rtl w:val="0"/>
          <w:lang w:val="en-US"/>
        </w:rPr>
        <w:t xml:space="preserve">business requirements, </w:t>
      </w:r>
      <w:r>
        <w:rPr>
          <w:rFonts w:cs="Arial Unicode MS" w:eastAsia="Arial Unicode MS"/>
          <w:rtl w:val="0"/>
          <w:lang w:val="en-US"/>
        </w:rPr>
        <w:t xml:space="preserve">collaborations with client teams, </w:t>
      </w:r>
      <w:r>
        <w:rPr>
          <w:rFonts w:cs="Arial Unicode MS" w:eastAsia="Arial Unicode MS"/>
          <w:rtl w:val="0"/>
          <w:lang w:val="fr-FR"/>
        </w:rPr>
        <w:t>change</w:t>
      </w:r>
      <w:r>
        <w:rPr>
          <w:rFonts w:cs="Arial Unicode MS" w:eastAsia="Arial Unicode MS"/>
          <w:rtl w:val="0"/>
          <w:lang w:val="en-US"/>
        </w:rPr>
        <w:t xml:space="preserve"> of user availability plans, etc</w:t>
      </w:r>
      <w:r>
        <w:rPr>
          <w:rFonts w:cs="Arial Unicode MS" w:eastAsia="Arial Unicode MS"/>
          <w:rtl w:val="0"/>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723900</wp:posOffset>
              </wp:positionV>
              <wp:extent cx="6249425" cy="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6249425"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7" style="visibility:visible;position:absolute;margin-left:60.0pt;margin-top:57.0pt;width:492.1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60.0pt;margin-top:722.0pt;width:49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1948020</wp:posOffset>
              </wp:positionH>
              <wp:positionV relativeFrom="page">
                <wp:posOffset>3829744</wp:posOffset>
              </wp:positionV>
              <wp:extent cx="4561306" cy="2395840"/>
              <wp:effectExtent l="245519" t="1168510" r="245519" b="1168510"/>
              <wp:wrapNone/>
              <wp:docPr id="1073741829" name="officeArt object"/>
              <wp:cNvGraphicFramePr/>
              <a:graphic xmlns:a="http://schemas.openxmlformats.org/drawingml/2006/main">
                <a:graphicData uri="http://schemas.microsoft.com/office/word/2010/wordprocessingGroup">
                  <wpg:wgp>
                    <wpg:cNvGrpSpPr/>
                    <wpg:grpSpPr>
                      <a:xfrm rot="19259290">
                        <a:off x="0" y="0"/>
                        <a:ext cx="4561306" cy="2395840"/>
                        <a:chOff x="0" y="0"/>
                        <a:chExt cx="4561305" cy="2395839"/>
                      </a:xfrm>
                    </wpg:grpSpPr>
                    <wps:wsp>
                      <wps:cNvPr id="1073741828" name="Shape 1073741828"/>
                      <wps:cNvSpPr/>
                      <wps:spPr>
                        <a:xfrm>
                          <a:off x="127000" y="127000"/>
                          <a:ext cx="4307306" cy="2141840"/>
                        </a:xfrm>
                        <a:prstGeom prst="rect">
                          <a:avLst/>
                        </a:prstGeom>
                        <a:noFill/>
                        <a:ln>
                          <a:noFill/>
                        </a:ln>
                        <a:effectLst/>
                      </wps:spPr>
                      <wps:txbx>
                        <w:txbxContent>
                          <w:p>
                            <w:pPr>
                              <w:pStyle w:val="Label Dark"/>
                            </w:pPr>
                            <w:r>
                              <w:rPr>
                                <w:rFonts w:ascii="Capitals" w:hAnsi="Capitals"/>
                                <w:outline w:val="0"/>
                                <w:color w:val="f4f2ef"/>
                                <w:sz w:val="140"/>
                                <w:szCs w:val="140"/>
                                <w:rtl w:val="0"/>
                                <w:lang w:val="en-US"/>
                                <w14:textFill>
                                  <w14:solidFill>
                                    <w14:srgbClr w14:val="F4F2EF"/>
                                  </w14:solidFill>
                                </w14:textFill>
                              </w:rPr>
                              <w:t>SAMPLE</w:t>
                            </w:r>
                          </w:p>
                        </w:txbxContent>
                      </wps:txbx>
                      <wps:bodyPr wrap="square" lIns="50800" tIns="50800" rIns="50800" bIns="50800" numCol="1" anchor="ctr">
                        <a:noAutofit/>
                      </wps:bodyPr>
                    </wps:wsp>
                    <pic:pic xmlns:pic="http://schemas.openxmlformats.org/drawingml/2006/picture">
                      <pic:nvPicPr>
                        <pic:cNvPr id="1073741827" name="SAMPLE" descr="SAMPLE"/>
                        <pic:cNvPicPr>
                          <a:picLocks noChangeAspect="0"/>
                        </pic:cNvPicPr>
                      </pic:nvPicPr>
                      <pic:blipFill>
                        <a:blip r:embed="rId1">
                          <a:extLst/>
                        </a:blip>
                        <a:stretch>
                          <a:fillRect/>
                        </a:stretch>
                      </pic:blipFill>
                      <pic:spPr>
                        <a:xfrm>
                          <a:off x="0" y="0"/>
                          <a:ext cx="4561306" cy="2395840"/>
                        </a:xfrm>
                        <a:prstGeom prst="rect">
                          <a:avLst/>
                        </a:prstGeom>
                        <a:effectLst/>
                      </pic:spPr>
                    </pic:pic>
                  </wpg:wgp>
                </a:graphicData>
              </a:graphic>
            </wp:anchor>
          </w:drawing>
        </mc:Choice>
        <mc:Fallback>
          <w:pict>
            <v:group id="_x0000_s1029" style="visibility:visible;position:absolute;margin-left:153.4pt;margin-top:301.6pt;width:359.2pt;height:188.6pt;z-index:-251656192;mso-position-horizontal:absolute;mso-position-horizontal-relative:page;mso-position-vertical:absolute;mso-position-vertical-relative:page;mso-wrap-distance-left:12.0pt;mso-wrap-distance-top:12.0pt;mso-wrap-distance-right:12.0pt;mso-wrap-distance-bottom:12.0pt;rotation:21036280fd;" coordorigin="0,0" coordsize="4561305,2395840">
              <w10:wrap type="none" side="bothSides" anchorx="page" anchory="page"/>
              <v:rect id="_x0000_s1030" style="position:absolute;left:127000;top:127000;width:4307305;height:2141840;">
                <v:fill on="f"/>
                <v:stroke on="f" weight="0.8pt" dashstyle="solid" endcap="flat" joinstyle="round" linestyle="single" startarrow="none" startarrowwidth="medium" startarrowlength="medium" endarrow="none" endarrowwidth="medium" endarrowlength="medium"/>
                <v:textbox>
                  <w:txbxContent>
                    <w:p>
                      <w:pPr>
                        <w:pStyle w:val="Label Dark"/>
                      </w:pPr>
                      <w:r>
                        <w:rPr>
                          <w:rFonts w:ascii="Capitals" w:hAnsi="Capitals"/>
                          <w:outline w:val="0"/>
                          <w:color w:val="f4f2ef"/>
                          <w:sz w:val="140"/>
                          <w:szCs w:val="140"/>
                          <w:rtl w:val="0"/>
                          <w:lang w:val="en-US"/>
                          <w14:textFill>
                            <w14:solidFill>
                              <w14:srgbClr w14:val="F4F2EF"/>
                            </w14:solidFill>
                          </w14:textFill>
                        </w:rPr>
                        <w:t>SAMPLE</w:t>
                      </w:r>
                    </w:p>
                  </w:txbxContent>
                </v:textbox>
              </v:rect>
              <v:shape id="_x0000_s1031" type="#_x0000_t75" style="position:absolute;left:0;top:0;width:4561305;height:2395840;">
                <v:imagedata r:id="rId1" o:title=""/>
              </v:shape>
            </v:group>
          </w:pict>
        </mc:Fallback>
      </mc:AlternateContent>
    </w:r>
    <w:r>
      <w:rPr>
        <w:rtl w:val="0"/>
      </w:rPr>
      <w:t xml:space="preserve">ITertop :: task declaration :: doc#190617FE00v01 :: Alexander Valler :: </w:t>
    </w:r>
    <w:r>
      <w:rPr/>
      <w:fldChar w:fldCharType="begin" w:fldLock="0"/>
    </w:r>
    <w:r>
      <w:instrText xml:space="preserve"> DATE \@ "MMMM d, y" </w:instrText>
    </w:r>
    <w:r>
      <w:rPr/>
      <w:fldChar w:fldCharType="separate" w:fldLock="0"/>
    </w:r>
    <w:r>
      <w:rPr>
        <w:rtl w:val="0"/>
      </w:rPr>
      <w:t>August 17, 2019</w:t>
    </w:r>
    <w:r>
      <w:rPr/>
      <w:fldChar w:fldCharType="end" w:fldLock="1"/>
    </w:r>
    <w:r>
      <w:rPr>
        <w:rtl w:val="0"/>
      </w:rPr>
      <w:t xml:space="preserve">                     page </w:t>
    </w:r>
    <w:r>
      <w:rPr/>
      <w:fldChar w:fldCharType="begin" w:fldLock="0"/>
    </w:r>
    <w:r>
      <w:instrText xml:space="preserve"> PAGE </w:instrText>
    </w:r>
    <w:r>
      <w:rPr/>
      <w:fldChar w:fldCharType="separate" w:fldLock="0"/>
    </w:r>
    <w:r>
      <w:t>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decimal"/>
      <w:suff w:val="tab"/>
      <w:lvlText w:val="%1."/>
      <w:lvlJc w:val="left"/>
      <w:pPr>
        <w:tabs>
          <w:tab w:val="clear" w:pos="1267"/>
          <w:tab w:val="clear" w:pos="1333"/>
        </w:tabs>
        <w:ind w:left="36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decimal"/>
      <w:suff w:val="tab"/>
      <w:lvlText w:val="%2."/>
      <w:lvlJc w:val="left"/>
      <w:pPr>
        <w:tabs>
          <w:tab w:val="clear" w:pos="1267"/>
          <w:tab w:val="clear" w:pos="1333"/>
        </w:tabs>
        <w:ind w:left="58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decimal"/>
      <w:suff w:val="tab"/>
      <w:lvlText w:val="%3."/>
      <w:lvlJc w:val="left"/>
      <w:pPr>
        <w:tabs>
          <w:tab w:val="clear" w:pos="1267"/>
          <w:tab w:val="clear" w:pos="1333"/>
        </w:tabs>
        <w:ind w:left="80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decimal"/>
      <w:suff w:val="tab"/>
      <w:lvlText w:val="%4."/>
      <w:lvlJc w:val="left"/>
      <w:pPr>
        <w:tabs>
          <w:tab w:val="clear" w:pos="1267"/>
          <w:tab w:val="clear" w:pos="1333"/>
        </w:tabs>
        <w:ind w:left="102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decimal"/>
      <w:suff w:val="tab"/>
      <w:lvlText w:val="%5."/>
      <w:lvlJc w:val="left"/>
      <w:pPr>
        <w:tabs>
          <w:tab w:val="clear" w:pos="1267"/>
          <w:tab w:val="clear" w:pos="1333"/>
        </w:tabs>
        <w:ind w:left="124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decimal"/>
      <w:suff w:val="tab"/>
      <w:lvlText w:val="%6."/>
      <w:lvlJc w:val="left"/>
      <w:pPr>
        <w:tabs>
          <w:tab w:val="clear" w:pos="1267"/>
          <w:tab w:val="clear" w:pos="1333"/>
        </w:tabs>
        <w:ind w:left="146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decimal"/>
      <w:suff w:val="tab"/>
      <w:lvlText w:val="%7."/>
      <w:lvlJc w:val="left"/>
      <w:pPr>
        <w:tabs>
          <w:tab w:val="clear" w:pos="1267"/>
          <w:tab w:val="clear" w:pos="1333"/>
        </w:tabs>
        <w:ind w:left="168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decimal"/>
      <w:suff w:val="tab"/>
      <w:lvlText w:val="%8."/>
      <w:lvlJc w:val="left"/>
      <w:pPr>
        <w:tabs>
          <w:tab w:val="clear" w:pos="1267"/>
          <w:tab w:val="clear" w:pos="1333"/>
        </w:tabs>
        <w:ind w:left="190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decimal"/>
      <w:suff w:val="tab"/>
      <w:lvlText w:val="%9."/>
      <w:lvlJc w:val="left"/>
      <w:pPr>
        <w:tabs>
          <w:tab w:val="clear" w:pos="1267"/>
          <w:tab w:val="clear" w:pos="1333"/>
        </w:tabs>
        <w:ind w:left="2120" w:hanging="36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clear" w:pos="1267"/>
          <w:tab w:val="clear" w:pos="1333"/>
        </w:tabs>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tabs>
          <w:tab w:val="clear" w:pos="1267"/>
          <w:tab w:val="clear" w:pos="1333"/>
        </w:tabs>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tabs>
          <w:tab w:val="clear" w:pos="1267"/>
          <w:tab w:val="clear" w:pos="1333"/>
        </w:tabs>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tabs>
          <w:tab w:val="clear" w:pos="1267"/>
          <w:tab w:val="clear" w:pos="1333"/>
        </w:tabs>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tabs>
          <w:tab w:val="clear" w:pos="1267"/>
          <w:tab w:val="clear" w:pos="1333"/>
        </w:tabs>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tabs>
          <w:tab w:val="clear" w:pos="1267"/>
          <w:tab w:val="clear" w:pos="1333"/>
        </w:tabs>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tabs>
          <w:tab w:val="clear" w:pos="1267"/>
          <w:tab w:val="clear" w:pos="1333"/>
        </w:tabs>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tabs>
          <w:tab w:val="clear" w:pos="1267"/>
          <w:tab w:val="clear" w:pos="1333"/>
        </w:tabs>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tabs>
          <w:tab w:val="clear" w:pos="1267"/>
          <w:tab w:val="clear" w:pos="1333"/>
        </w:tabs>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5f5f5f"/>
      <w:spacing w:val="0"/>
      <w:kern w:val="0"/>
      <w:position w:val="0"/>
      <w:sz w:val="20"/>
      <w:szCs w:val="20"/>
      <w:u w:val="none"/>
      <w:vertAlign w:val="baseline"/>
      <w:lang w:val="en-US"/>
      <w14:textOutline>
        <w14:noFill/>
      </w14:textOutline>
      <w14:textFill>
        <w14:solidFill>
          <w14:srgbClr w14:val="606060"/>
        </w14:solidFill>
      </w14:textFill>
    </w:rPr>
  </w:style>
  <w:style w:type="paragraph" w:styleId="Label Dark">
    <w:name w:val="Label Dark"/>
    <w:next w:val="Label Dark"/>
    <w:pPr>
      <w:keepNext w:val="0"/>
      <w:keepLines w:val="0"/>
      <w:pageBreakBefore w:val="0"/>
      <w:widowControl w:val="1"/>
      <w:shd w:val="clear" w:color="auto" w:fill="auto"/>
      <w:suppressAutoHyphens w:val="0"/>
      <w:bidi w:val="0"/>
      <w:spacing w:before="80" w:after="180" w:line="288"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Subtitle">
    <w:name w:val="Subtitle"/>
    <w:next w:val="Body 2"/>
    <w:pPr>
      <w:keepNext w:val="0"/>
      <w:keepLines w:val="0"/>
      <w:pageBreakBefore w:val="0"/>
      <w:widowControl w:val="1"/>
      <w:shd w:val="clear" w:color="auto" w:fill="auto"/>
      <w:suppressAutoHyphens w:val="0"/>
      <w:bidi w:val="0"/>
      <w:spacing w:before="0" w:after="20" w:line="288"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357ca2"/>
      <w:spacing w:val="13"/>
      <w:kern w:val="0"/>
      <w:position w:val="0"/>
      <w:sz w:val="26"/>
      <w:szCs w:val="26"/>
      <w:u w:val="none"/>
      <w:vertAlign w:val="baseline"/>
      <w:lang w:val="en-US"/>
      <w14:textOutline>
        <w14:noFill/>
      </w14:textOutline>
      <w14:textFill>
        <w14:solidFill>
          <w14:srgbClr w14:val="367DA2"/>
        </w14:solidFill>
      </w14:textFill>
    </w:rPr>
  </w:style>
  <w:style w:type="paragraph" w:styleId="Body 2">
    <w:name w:val="Body 2"/>
    <w:next w:val="Body 2"/>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UltraLight" w:cs="Helvetica Neue UltraLight" w:hAnsi="Helvetica Neue UltraLight" w:eastAsia="Helvetica Neue UltraLight"/>
      <w:b w:val="0"/>
      <w:bCs w:val="0"/>
      <w:i w:val="0"/>
      <w:iCs w:val="0"/>
      <w:caps w:val="0"/>
      <w:smallCaps w:val="0"/>
      <w:strike w:val="0"/>
      <w:dstrike w:val="0"/>
      <w:outline w:val="0"/>
      <w:color w:val="000000"/>
      <w:spacing w:val="16"/>
      <w:kern w:val="0"/>
      <w:position w:val="0"/>
      <w:sz w:val="56"/>
      <w:szCs w:val="56"/>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tabs>
        <w:tab w:val="right" w:pos="1267"/>
        <w:tab w:val="right" w:pos="1333"/>
      </w:tabs>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Footnote">
    <w:name w:val="Footnote"/>
    <w:next w:val="Footnote"/>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16"/>
      <w:szCs w:val="16"/>
      <w:u w:val="none"/>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tabs>
        <w:tab w:val="right" w:pos="1267"/>
        <w:tab w:val="right" w:pos="1333"/>
      </w:tabs>
      <w:suppressAutoHyphens w:val="0"/>
      <w:bidi w:val="0"/>
      <w:spacing w:before="200" w:after="0" w:line="288"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fefefe"/>
      <w:spacing w:val="0"/>
      <w:kern w:val="0"/>
      <w:position w:val="0"/>
      <w:sz w:val="20"/>
      <w:szCs w:val="20"/>
      <w:u w:val="none"/>
      <w:vertAlign w:val="baseline"/>
      <w14:textOutline>
        <w14:noFill/>
      </w14:textOutline>
      <w14:textFill>
        <w14:solidFill>
          <w14:srgbClr w14:val="FFFFFF"/>
        </w14:solidFill>
      </w14:textFill>
    </w:rPr>
  </w:style>
  <w:style w:type="paragraph" w:styleId="Table Style 3">
    <w:name w:val="Table Style 3"/>
    <w:next w:val="Table Style 3"/>
    <w:pPr>
      <w:keepNext w:val="0"/>
      <w:keepLines w:val="0"/>
      <w:pageBreakBefore w:val="0"/>
      <w:widowControl w:val="1"/>
      <w:shd w:val="clear" w:color="auto" w:fill="auto"/>
      <w:tabs>
        <w:tab w:val="right" w:pos="1267"/>
        <w:tab w:val="right" w:pos="1333"/>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25400" dist="12700" dir="540000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90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0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