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3" w:lineRule="auto" w:before="150"/>
        <w:ind w:left="2449" w:right="0" w:hanging="2323"/>
        <w:jc w:val="left"/>
        <w:rPr>
          <w:rFonts w:ascii="Arial" w:hAnsi="Arial"/>
          <w:b/>
          <w:sz w:val="113"/>
        </w:rPr>
      </w:pPr>
      <w:hyperlink r:id="rId5">
        <w:r>
          <w:rPr>
            <w:rFonts w:ascii="Arial" w:hAnsi="Arial"/>
            <w:b/>
            <w:color w:val="FFFFFF"/>
            <w:sz w:val="113"/>
          </w:rPr>
          <w:t>CONSULT</w:t>
        </w:r>
        <w:r>
          <w:rPr>
            <w:rFonts w:ascii="Arial" w:hAnsi="Arial"/>
            <w:b/>
            <w:color w:val="FFFFFF"/>
            <w:spacing w:val="-72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WITH</w:t>
        </w:r>
        <w:r>
          <w:rPr>
            <w:rFonts w:ascii="Arial" w:hAnsi="Arial"/>
            <w:b/>
            <w:color w:val="FFFFFF"/>
            <w:spacing w:val="-72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CHINH</w:t>
        </w:r>
        <w:r>
          <w:rPr>
            <w:rFonts w:ascii="Arial" w:hAnsi="Arial"/>
            <w:b/>
            <w:color w:val="FFFFFF"/>
            <w:spacing w:val="-72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CHU</w:t>
        </w:r>
        <w:r>
          <w:rPr>
            <w:rFonts w:ascii="Arial" w:hAnsi="Arial"/>
            <w:b/>
            <w:color w:val="FFFFFF"/>
            <w:spacing w:val="-72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–</w:t>
        </w:r>
        <w:r>
          <w:rPr>
            <w:rFonts w:ascii="Arial" w:hAnsi="Arial"/>
            <w:b/>
            <w:color w:val="FFFFFF"/>
            <w:spacing w:val="-71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A</w:t>
        </w:r>
        <w:r>
          <w:rPr>
            <w:rFonts w:ascii="Arial" w:hAnsi="Arial"/>
            <w:b/>
            <w:color w:val="FFFFFF"/>
            <w:spacing w:val="-72"/>
            <w:sz w:val="113"/>
          </w:rPr>
          <w:t> </w:t>
        </w:r>
        <w:r>
          <w:rPr>
            <w:rFonts w:ascii="Arial" w:hAnsi="Arial"/>
            <w:b/>
            <w:color w:val="FFFFFF"/>
            <w:spacing w:val="-3"/>
            <w:sz w:val="113"/>
          </w:rPr>
          <w:t>MASTER </w:t>
        </w:r>
        <w:r>
          <w:rPr>
            <w:rFonts w:ascii="Arial" w:hAnsi="Arial"/>
            <w:b/>
            <w:color w:val="FFFFFF"/>
            <w:sz w:val="113"/>
          </w:rPr>
          <w:t>OF</w:t>
        </w:r>
        <w:r>
          <w:rPr>
            <w:rFonts w:ascii="Arial" w:hAnsi="Arial"/>
            <w:b/>
            <w:color w:val="FFFFFF"/>
            <w:spacing w:val="-117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SPAC</w:t>
        </w:r>
        <w:r>
          <w:rPr>
            <w:rFonts w:ascii="Arial" w:hAnsi="Arial"/>
            <w:b/>
            <w:color w:val="FFFFFF"/>
            <w:spacing w:val="-117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RELATED</w:t>
        </w:r>
        <w:r>
          <w:rPr>
            <w:rFonts w:ascii="Arial" w:hAnsi="Arial"/>
            <w:b/>
            <w:color w:val="FFFFFF"/>
            <w:spacing w:val="-117"/>
            <w:sz w:val="113"/>
          </w:rPr>
          <w:t> </w:t>
        </w:r>
        <w:r>
          <w:rPr>
            <w:rFonts w:ascii="Arial" w:hAnsi="Arial"/>
            <w:b/>
            <w:color w:val="FFFFFF"/>
            <w:sz w:val="113"/>
          </w:rPr>
          <w:t>INVESTMENT</w:t>
        </w:r>
      </w:hyperlink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rPr>
          <w:rFonts w:ascii="Arial"/>
          <w:i w:val="0"/>
          <w:sz w:val="20"/>
        </w:rPr>
      </w:pPr>
    </w:p>
    <w:p>
      <w:pPr>
        <w:pStyle w:val="BodyText"/>
        <w:spacing w:before="4"/>
        <w:rPr>
          <w:rFonts w:ascii="Arial"/>
          <w:i w:val="0"/>
          <w:sz w:val="27"/>
        </w:rPr>
      </w:pPr>
    </w:p>
    <w:p>
      <w:pPr>
        <w:pStyle w:val="BodyText"/>
        <w:spacing w:line="290" w:lineRule="auto" w:before="94"/>
        <w:ind w:left="103"/>
      </w:pPr>
      <w:hyperlink r:id="rId6">
        <w:r>
          <w:rPr>
            <w:i/>
            <w:color w:val="FFFFFF"/>
          </w:rPr>
          <w:t>CC Neuberger Principal Holdings I (the "Organization") today reported </w:t>
        </w:r>
        <w:r>
          <w:rPr>
            <w:color w:val="FFFFFF"/>
          </w:rPr>
          <w:t>the evaluating of its first sale of stock of 36,000,000 units at a cost of</w:t>
        </w:r>
      </w:hyperlink>
    </w:p>
    <w:p>
      <w:pPr>
        <w:pStyle w:val="BodyText"/>
        <w:spacing w:line="290" w:lineRule="auto" w:before="7"/>
        <w:ind w:left="103"/>
      </w:pPr>
      <w:hyperlink r:id="rId6">
        <w:r>
          <w:rPr>
            <w:i/>
            <w:color w:val="FFFFFF"/>
          </w:rPr>
          <w:t>$10.00 per unit. The units will be recorded on the New York Stock </w:t>
        </w:r>
        <w:r>
          <w:rPr>
            <w:color w:val="FFFFFF"/>
          </w:rPr>
          <w:t>Exchange and exchange under the ticker image "PCPL.U" starting</w:t>
        </w:r>
        <w:r>
          <w:rPr>
            <w:color w:val="FFFFFF"/>
            <w:spacing w:val="-115"/>
          </w:rPr>
          <w:t> </w:t>
        </w:r>
        <w:r>
          <w:rPr>
            <w:color w:val="FFFFFF"/>
            <w:spacing w:val="-3"/>
          </w:rPr>
          <w:t>April </w:t>
        </w:r>
        <w:r>
          <w:rPr>
            <w:color w:val="FFFFFF"/>
          </w:rPr>
          <w:t>24, 2020. Every unit comprises of one Class A conventional portion of the Company and 33% of one warrant. Every entire warrant qualifies</w:t>
        </w:r>
      </w:hyperlink>
    </w:p>
    <w:p>
      <w:pPr>
        <w:pStyle w:val="BodyText"/>
        <w:spacing w:line="290" w:lineRule="auto" w:before="14"/>
        <w:ind w:left="103"/>
      </w:pPr>
      <w:hyperlink r:id="rId6">
        <w:r>
          <w:rPr>
            <w:i/>
            <w:color w:val="FFFFFF"/>
          </w:rPr>
          <w:t>the holder thereof for buy one Class A customary portion of </w:t>
        </w:r>
        <w:r>
          <w:rPr>
            <w:i/>
            <w:color w:val="FFFFFF"/>
            <w:spacing w:val="-4"/>
          </w:rPr>
          <w:t>the </w:t>
        </w:r>
        <w:r>
          <w:rPr>
            <w:color w:val="FFFFFF"/>
          </w:rPr>
          <w:t>Company at a cost of $11.50 per share. When the</w:t>
        </w:r>
        <w:r>
          <w:rPr>
            <w:color w:val="FFFFFF"/>
            <w:spacing w:val="162"/>
          </w:rPr>
          <w:t> </w:t>
        </w:r>
        <w:r>
          <w:rPr>
            <w:color w:val="FFFFFF"/>
          </w:rPr>
          <w:t>protections</w:t>
        </w:r>
      </w:hyperlink>
    </w:p>
    <w:p>
      <w:pPr>
        <w:pStyle w:val="BodyText"/>
        <w:spacing w:before="7"/>
        <w:ind w:left="103"/>
        <w:rPr>
          <w:i/>
        </w:rPr>
      </w:pPr>
      <w:hyperlink r:id="rId6">
        <w:r>
          <w:rPr>
            <w:i/>
            <w:color w:val="FFFFFF"/>
          </w:rPr>
          <w:t>involving the units start separate exchanging, the Class A normal</w:t>
        </w:r>
      </w:hyperlink>
    </w:p>
    <w:p>
      <w:pPr>
        <w:pStyle w:val="BodyText"/>
        <w:spacing w:line="290" w:lineRule="auto" w:before="194"/>
        <w:ind w:left="103"/>
      </w:pPr>
      <w:hyperlink r:id="rId6">
        <w:r>
          <w:rPr>
            <w:i/>
            <w:color w:val="FFFFFF"/>
          </w:rPr>
          <w:t>offers and warrants are relied upon to be recorded on the New York </w:t>
        </w:r>
        <w:r>
          <w:rPr>
            <w:color w:val="FFFFFF"/>
          </w:rPr>
          <w:t>Stock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Exchange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under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the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images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"PCPL"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and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"PCPL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WS,"</w:t>
        </w:r>
        <w:r>
          <w:rPr>
            <w:color w:val="FFFFFF"/>
            <w:spacing w:val="-43"/>
          </w:rPr>
          <w:t> </w:t>
        </w:r>
        <w:r>
          <w:rPr>
            <w:color w:val="FFFFFF"/>
          </w:rPr>
          <w:t>individually.</w:t>
        </w:r>
      </w:hyperlink>
    </w:p>
    <w:p>
      <w:pPr>
        <w:spacing w:after="0" w:line="290" w:lineRule="auto"/>
        <w:sectPr>
          <w:type w:val="continuous"/>
          <w:pgSz w:w="22390" w:h="31660"/>
          <w:pgMar w:top="40" w:bottom="0" w:left="120" w:right="0"/>
        </w:sectPr>
      </w:pPr>
    </w:p>
    <w:p>
      <w:pPr>
        <w:pStyle w:val="BodyText"/>
        <w:spacing w:before="8"/>
        <w:ind w:left="103"/>
        <w:rPr>
          <w:i/>
        </w:rPr>
      </w:pPr>
      <w:r>
        <w:rPr/>
        <w:pict>
          <v:rect style="position:absolute;margin-left:0pt;margin-top:.000051pt;width:1119.029390pt;height:1582.999935pt;mso-position-horizontal-relative:page;mso-position-vertical-relative:page;z-index:-251771904" filled="true" fillcolor="#4e4e4e" stroked="false">
            <v:fill type="solid"/>
            <w10:wrap type="none"/>
          </v:rect>
        </w:pict>
      </w:r>
      <w:r>
        <w:rPr/>
        <w:pict>
          <v:group style="position:absolute;margin-left:0pt;margin-top:.000005pt;width:1119.05pt;height:1583pt;mso-position-horizontal-relative:page;mso-position-vertical-relative:page;z-index:-251770880" coordorigin="0,0" coordsize="22381,31660">
            <v:shape style="position:absolute;left:0;top:0;width:22381;height:31660" type="#_x0000_t75" stroked="false">
              <v:imagedata r:id="rId7" o:title=""/>
            </v:shape>
            <v:shape style="position:absolute;left:406;top:2794;width:21572;height:15534" type="#_x0000_t75" stroked="false">
              <v:imagedata r:id="rId8" o:title=""/>
            </v:shape>
            <w10:wrap type="none"/>
          </v:group>
        </w:pict>
      </w:r>
      <w:hyperlink r:id="rId6">
        <w:r>
          <w:rPr>
            <w:i/>
            <w:color w:val="FFFFFF"/>
          </w:rPr>
          <w:t>For more information please visit our</w:t>
        </w:r>
        <w:r>
          <w:rPr>
            <w:i/>
            <w:color w:val="FFFFFF"/>
            <w:spacing w:val="81"/>
          </w:rPr>
          <w:t> </w:t>
        </w:r>
        <w:r>
          <w:rPr>
            <w:i/>
            <w:color w:val="FFFFFF"/>
          </w:rPr>
          <w:t>website:</w:t>
        </w:r>
      </w:hyperlink>
    </w:p>
    <w:p>
      <w:pPr>
        <w:spacing w:before="202"/>
        <w:ind w:left="103" w:right="0" w:firstLine="0"/>
        <w:jc w:val="left"/>
        <w:rPr>
          <w:b/>
          <w:sz w:val="60"/>
        </w:rPr>
      </w:pPr>
      <w:r>
        <w:rPr/>
        <w:br w:type="column"/>
      </w:r>
      <w:hyperlink r:id="rId6">
        <w:r>
          <w:rPr>
            <w:b/>
            <w:color w:val="FAEB61"/>
            <w:sz w:val="60"/>
          </w:rPr>
          <w:t>CHINH CHU CC CAPITAL</w:t>
        </w:r>
      </w:hyperlink>
    </w:p>
    <w:sectPr>
      <w:type w:val="continuous"/>
      <w:pgSz w:w="22390" w:h="31660"/>
      <w:pgMar w:top="40" w:bottom="0" w:left="120" w:right="0"/>
      <w:cols w:num="2" w:equalWidth="0">
        <w:col w:w="14452" w:space="914"/>
        <w:col w:w="69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b/>
      <w:bCs/>
      <w:i/>
      <w:sz w:val="79"/>
      <w:szCs w:val="79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theice.com/insights/conversations/inside-the-ice-house/cc-capital-founder-chinh-chu-on-why-spacs-are-now-a-main-course-to-going-public" TargetMode="External"/><Relationship Id="rId6" Type="http://schemas.openxmlformats.org/officeDocument/2006/relationships/hyperlink" Target="https://www.linkedin.com/company/cccapitalllc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 With Chinh Chu – A Master Of SPAC Related Investment</dc:title>
  <dc:creator>https://www.theice.com/insights/conversations/inside-the-ice-house/cc-capital-founder-chinh-chu-on-why-spacs-are-now-a-main-course-to-going-public</dc:creator>
  <cp:keywords>Chinh Chu; Chinh Chu CC Capital; CC Capital</cp:keywords>
  <dcterms:created xsi:type="dcterms:W3CDTF">2021-01-19T11:19:58Z</dcterms:created>
  <dcterms:modified xsi:type="dcterms:W3CDTF">2021-01-19T11:19:58Z</dcterms:modified>
  <cp:category>Finance &amp; Investment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2021-01-19T00:00:00Z</vt:filetime>
  </property>
</Properties>
</file>