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43067792"/>
        <w:docPartObj>
          <w:docPartGallery w:val="Cover Pages"/>
          <w:docPartUnique/>
        </w:docPartObj>
      </w:sdtPr>
      <w:sdtEndPr>
        <w:rPr>
          <w:b/>
          <w:sz w:val="28"/>
          <w:szCs w:val="28"/>
        </w:rPr>
      </w:sdtEndPr>
      <w:sdtContent>
        <w:p w14:paraId="2D9D4031" w14:textId="77777777" w:rsidR="00566125" w:rsidRDefault="00566125">
          <w:r>
            <w:rPr>
              <w:noProof/>
            </w:rPr>
            <mc:AlternateContent>
              <mc:Choice Requires="wps">
                <w:drawing>
                  <wp:anchor distT="0" distB="0" distL="114300" distR="114300" simplePos="0" relativeHeight="251660288" behindDoc="1" locked="0" layoutInCell="1" allowOverlap="1" wp14:anchorId="50EC3D92" wp14:editId="1202F69D">
                    <wp:simplePos x="0" y="0"/>
                    <wp:positionH relativeFrom="margin">
                      <wp:align>center</wp:align>
                    </wp:positionH>
                    <mc:AlternateContent>
                      <mc:Choice Requires="wp14">
                        <wp:positionV relativeFrom="margin">
                          <wp14:pctPosVOffset>-5000</wp14:pctPosVOffset>
                        </wp:positionV>
                      </mc:Choice>
                      <mc:Fallback>
                        <wp:positionV relativeFrom="page">
                          <wp:posOffset>502920</wp:posOffset>
                        </wp:positionV>
                      </mc:Fallback>
                    </mc:AlternateContent>
                    <wp:extent cx="6537960" cy="5349240"/>
                    <wp:effectExtent l="0" t="0" r="0" b="3810"/>
                    <wp:wrapNone/>
                    <wp:docPr id="38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960" cy="5349240"/>
                            </a:xfrm>
                            <a:prstGeom prst="rect">
                              <a:avLst/>
                            </a:prstGeom>
                            <a:extLst>
                              <a:ext uri="{53640926-AAD7-44D8-BBD7-CCE9431645EC}">
                                <a14:shadowObscured xmlns:a14="http://schemas.microsoft.com/office/drawing/2010/main" val="1"/>
                              </a:ext>
                            </a:extLst>
                          </wps:spPr>
                          <wps:style>
                            <a:lnRef idx="0">
                              <a:scrgbClr r="0" g="0" b="0"/>
                            </a:lnRef>
                            <a:fillRef idx="1003">
                              <a:schemeClr val="dk1"/>
                            </a:fillRef>
                            <a:effectRef idx="0">
                              <a:scrgbClr r="0" g="0" b="0"/>
                            </a:effectRef>
                            <a:fontRef idx="major"/>
                          </wps:style>
                          <wps:txbx>
                            <w:txbxContent>
                              <w:sdt>
                                <w:sdtPr>
                                  <w:rPr>
                                    <w:rFonts w:ascii="Arial" w:eastAsiaTheme="majorEastAsia" w:hAnsi="Arial" w:cs="Arial"/>
                                    <w:color w:val="FFFFFF" w:themeColor="background1"/>
                                    <w:sz w:val="84"/>
                                    <w:szCs w:val="72"/>
                                  </w:rPr>
                                  <w:alias w:val="Title"/>
                                  <w:id w:val="1550341699"/>
                                  <w:dataBinding w:prefixMappings="xmlns:ns0='http://schemas.openxmlformats.org/package/2006/metadata/core-properties' xmlns:ns1='http://purl.org/dc/elements/1.1/'" w:xpath="/ns0:coreProperties[1]/ns1:title[1]" w:storeItemID="{6C3C8BC8-F283-45AE-878A-BAB7291924A1}"/>
                                  <w:text/>
                                </w:sdtPr>
                                <w:sdtContent>
                                  <w:p w14:paraId="715A6228" w14:textId="77777777" w:rsidR="00566125" w:rsidRPr="00744471" w:rsidRDefault="00566125">
                                    <w:pPr>
                                      <w:pStyle w:val="NoSpacing"/>
                                      <w:rPr>
                                        <w:rFonts w:ascii="Arial" w:eastAsiaTheme="majorEastAsia" w:hAnsi="Arial" w:cs="Arial"/>
                                        <w:color w:val="FFFFFF" w:themeColor="background1"/>
                                        <w:sz w:val="84"/>
                                        <w:szCs w:val="72"/>
                                      </w:rPr>
                                    </w:pPr>
                                    <w:r w:rsidRPr="00744471">
                                      <w:rPr>
                                        <w:rFonts w:ascii="Arial" w:eastAsiaTheme="majorEastAsia" w:hAnsi="Arial" w:cs="Arial"/>
                                        <w:color w:val="FFFFFF" w:themeColor="background1"/>
                                        <w:sz w:val="84"/>
                                        <w:szCs w:val="72"/>
                                      </w:rPr>
                                      <w:t>Title Insurance and Settlement Company Best Practices</w:t>
                                    </w:r>
                                  </w:p>
                                </w:sdtContent>
                              </w:sdt>
                            </w:txbxContent>
                          </wps:txbx>
                          <wps:bodyPr rot="0" vert="horz" wrap="square" lIns="228600" tIns="45720" rIns="1371600" bIns="91440" anchor="b" anchorCtr="0" upright="1">
                            <a:noAutofit/>
                          </wps:bodyPr>
                        </wps:wsp>
                      </a:graphicData>
                    </a:graphic>
                    <wp14:sizeRelH relativeFrom="margin">
                      <wp14:pctWidth>110000</wp14:pctWidth>
                    </wp14:sizeRelH>
                    <wp14:sizeRelV relativeFrom="margin">
                      <wp14:pctHeight>65000</wp14:pctHeight>
                    </wp14:sizeRelV>
                  </wp:anchor>
                </w:drawing>
              </mc:Choice>
              <mc:Fallback>
                <w:pict>
                  <v:rect w14:anchorId="50EC3D92" id="Rectangle 6" o:spid="_x0000_s1026" style="position:absolute;margin-left:0;margin-top:0;width:514.8pt;height:421.2pt;z-index:-251656192;visibility:visible;mso-wrap-style:square;mso-width-percent:1100;mso-height-percent:650;mso-top-percent:-50;mso-wrap-distance-left:9pt;mso-wrap-distance-top:0;mso-wrap-distance-right:9pt;mso-wrap-distance-bottom:0;mso-position-horizontal:center;mso-position-horizontal-relative:margin;mso-position-vertical-relative:margin;mso-width-percent:1100;mso-height-percent:650;mso-top-percent:-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" fillcolor="#393939 [2512]" stroked="f">
                    <v:fill color2="black [1120]" rotate="t" focusposition="39322f,.5" focussize="" focus="100%" type="gradientRadial"/>
                    <v:textbox inset="18pt,,108pt,7.2pt">
                      <w:txbxContent>
                        <w:sdt>
                          <w:sdtPr>
                            <w:rPr>
                              <w:rFonts w:ascii="Arial" w:eastAsiaTheme="majorEastAsia" w:hAnsi="Arial" w:cs="Arial"/>
                              <w:color w:val="FFFFFF" w:themeColor="background1"/>
                              <w:sz w:val="84"/>
                              <w:szCs w:val="72"/>
                            </w:rPr>
                            <w:alias w:val="Title"/>
                            <w:id w:val="1550341699"/>
                            <w:dataBinding w:prefixMappings="xmlns:ns0='http://schemas.openxmlformats.org/package/2006/metadata/core-properties' xmlns:ns1='http://purl.org/dc/elements/1.1/'" w:xpath="/ns0:coreProperties[1]/ns1:title[1]" w:storeItemID="{6C3C8BC8-F283-45AE-878A-BAB7291924A1}"/>
                            <w:text/>
                          </w:sdtPr>
                          <w:sdtContent>
                            <w:p w14:paraId="715A6228" w14:textId="77777777" w:rsidR="00566125" w:rsidRPr="00744471" w:rsidRDefault="00566125">
                              <w:pPr>
                                <w:pStyle w:val="NoSpacing"/>
                                <w:rPr>
                                  <w:rFonts w:ascii="Arial" w:eastAsiaTheme="majorEastAsia" w:hAnsi="Arial" w:cs="Arial"/>
                                  <w:color w:val="FFFFFF" w:themeColor="background1"/>
                                  <w:sz w:val="84"/>
                                  <w:szCs w:val="72"/>
                                </w:rPr>
                              </w:pPr>
                              <w:r w:rsidRPr="00744471">
                                <w:rPr>
                                  <w:rFonts w:ascii="Arial" w:eastAsiaTheme="majorEastAsia" w:hAnsi="Arial" w:cs="Arial"/>
                                  <w:color w:val="FFFFFF" w:themeColor="background1"/>
                                  <w:sz w:val="84"/>
                                  <w:szCs w:val="72"/>
                                </w:rPr>
                                <w:t>Title Insurance and Settlement Company Best Practices</w:t>
                              </w:r>
                            </w:p>
                          </w:sdtContent>
                        </w:sdt>
                      </w:txbxContent>
                    </v:textbox>
                    <w10:wrap anchorx="margin" anchory="margin"/>
                  </v:rect>
                </w:pict>
              </mc:Fallback>
            </mc:AlternateContent>
          </w:r>
        </w:p>
        <w:p w14:paraId="04B4649B" w14:textId="77777777" w:rsidR="00566125" w:rsidRDefault="00566125"/>
        <w:p w14:paraId="178448C1" w14:textId="77777777" w:rsidR="00566125" w:rsidRDefault="00566125"/>
        <w:p w14:paraId="48E7E1AA" w14:textId="77777777" w:rsidR="00566125" w:rsidRDefault="00566125"/>
        <w:p w14:paraId="02C91087" w14:textId="77777777" w:rsidR="00566125" w:rsidRDefault="00566125">
          <w:pPr>
            <w:rPr>
              <w:b/>
              <w:sz w:val="28"/>
              <w:szCs w:val="28"/>
            </w:rPr>
          </w:pPr>
          <w:r>
            <w:rPr>
              <w:noProof/>
            </w:rPr>
            <mc:AlternateContent>
              <mc:Choice Requires="wps">
                <w:drawing>
                  <wp:anchor distT="0" distB="0" distL="114300" distR="114300" simplePos="0" relativeHeight="251662336" behindDoc="0" locked="0" layoutInCell="1" allowOverlap="1" wp14:anchorId="16BBADB8" wp14:editId="390426AA">
                    <wp:simplePos x="0" y="0"/>
                    <mc:AlternateContent>
                      <mc:Choice Requires="wp14">
                        <wp:positionH relativeFrom="margin">
                          <wp14:pctPosHOffset>-5000</wp14:pctPosHOffset>
                        </wp:positionH>
                      </mc:Choice>
                      <mc:Fallback>
                        <wp:positionH relativeFrom="page">
                          <wp:posOffset>617220</wp:posOffset>
                        </wp:positionH>
                      </mc:Fallback>
                    </mc:AlternateContent>
                    <mc:AlternateContent>
                      <mc:Choice Requires="wp14">
                        <wp:positionV relativeFrom="margin">
                          <wp14:pctPosVOffset>59000</wp14:pctPosVOffset>
                        </wp:positionV>
                      </mc:Choice>
                      <mc:Fallback>
                        <wp:positionV relativeFrom="page">
                          <wp:posOffset>5769610</wp:posOffset>
                        </wp:positionV>
                      </mc:Fallback>
                    </mc:AlternateContent>
                    <wp:extent cx="2941983" cy="3703320"/>
                    <wp:effectExtent l="0" t="0" r="0" b="0"/>
                    <wp:wrapNone/>
                    <wp:docPr id="386" name="Text Box 386"/>
                    <wp:cNvGraphicFramePr/>
                    <a:graphic xmlns:a="http://schemas.openxmlformats.org/drawingml/2006/main">
                      <a:graphicData uri="http://schemas.microsoft.com/office/word/2010/wordprocessingShape">
                        <wps:wsp>
                          <wps:cNvSpPr txBox="1"/>
                          <wps:spPr>
                            <a:xfrm>
                              <a:off x="0" y="0"/>
                              <a:ext cx="2941983" cy="37033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bCs/>
                                    <w:color w:val="3B3B3B" w:themeColor="text2"/>
                                    <w:spacing w:val="60"/>
                                    <w:sz w:val="20"/>
                                    <w:szCs w:val="20"/>
                                  </w:rPr>
                                  <w:alias w:val="Company"/>
                                  <w:id w:val="-1689900431"/>
                                  <w:dataBinding w:prefixMappings="xmlns:ns0='http://schemas.openxmlformats.org/officeDocument/2006/extended-properties'" w:xpath="/ns0:Properties[1]/ns0:Company[1]" w:storeItemID="{6668398D-A668-4E3E-A5EB-62B293D839F1}"/>
                                  <w:text/>
                                </w:sdtPr>
                                <w:sdtContent>
                                  <w:p w14:paraId="17991E23" w14:textId="7129F057"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The Title Exchange</w:t>
                                    </w:r>
                                  </w:p>
                                </w:sdtContent>
                              </w:sdt>
                              <w:sdt>
                                <w:sdtPr>
                                  <w:rPr>
                                    <w:b/>
                                    <w:bCs/>
                                    <w:color w:val="3B3B3B" w:themeColor="text2"/>
                                    <w:spacing w:val="60"/>
                                    <w:sz w:val="20"/>
                                    <w:szCs w:val="20"/>
                                  </w:rPr>
                                  <w:alias w:val="Address"/>
                                  <w:id w:val="2146780284"/>
                                  <w:dataBinding w:prefixMappings="xmlns:ns0='http://schemas.microsoft.com/office/2006/coverPageProps'" w:xpath="/ns0:CoverPageProperties[1]/ns0:CompanyAddress[1]" w:storeItemID="{55AF091B-3C7A-41E3-B477-F2FDAA23CFDA}"/>
                                  <w:text w:multiLine="1"/>
                                </w:sdtPr>
                                <w:sdtContent>
                                  <w:p w14:paraId="6825EA3F" w14:textId="6035D076"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2100 S Kensington Dr</w:t>
                                    </w:r>
                                    <w:r w:rsidR="008C0D34">
                                      <w:rPr>
                                        <w:b/>
                                        <w:bCs/>
                                        <w:color w:val="3B3B3B" w:themeColor="text2"/>
                                        <w:spacing w:val="60"/>
                                        <w:sz w:val="20"/>
                                        <w:szCs w:val="20"/>
                                      </w:rPr>
                                      <w:t xml:space="preserve">, Suite </w:t>
                                    </w:r>
                                    <w:r>
                                      <w:rPr>
                                        <w:b/>
                                        <w:bCs/>
                                        <w:color w:val="3B3B3B" w:themeColor="text2"/>
                                        <w:spacing w:val="60"/>
                                        <w:sz w:val="20"/>
                                        <w:szCs w:val="20"/>
                                      </w:rPr>
                                      <w:t>3</w:t>
                                    </w:r>
                                  </w:p>
                                </w:sdtContent>
                              </w:sdt>
                              <w:sdt>
                                <w:sdtPr>
                                  <w:rPr>
                                    <w:b/>
                                    <w:bCs/>
                                    <w:color w:val="3B3B3B" w:themeColor="text2"/>
                                    <w:spacing w:val="60"/>
                                    <w:sz w:val="20"/>
                                    <w:szCs w:val="20"/>
                                  </w:rPr>
                                  <w:alias w:val="Phone"/>
                                  <w:id w:val="-1647660158"/>
                                  <w:dataBinding w:prefixMappings="xmlns:ns0='http://schemas.microsoft.com/office/2006/coverPageProps'" w:xpath="/ns0:CoverPageProperties[1]/ns0:CompanyPhone[1]" w:storeItemID="{55AF091B-3C7A-41E3-B477-F2FDAA23CFDA}"/>
                                  <w:text/>
                                </w:sdtPr>
                                <w:sdtContent>
                                  <w:p w14:paraId="1198624F" w14:textId="6E3537E7" w:rsidR="00566125" w:rsidRDefault="008C0D34"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w:t>
                                    </w:r>
                                    <w:r w:rsidR="00F84BAE">
                                      <w:rPr>
                                        <w:b/>
                                        <w:bCs/>
                                        <w:color w:val="3B3B3B" w:themeColor="text2"/>
                                        <w:spacing w:val="60"/>
                                        <w:sz w:val="20"/>
                                        <w:szCs w:val="20"/>
                                      </w:rPr>
                                      <w:t>920</w:t>
                                    </w:r>
                                    <w:r>
                                      <w:rPr>
                                        <w:b/>
                                        <w:bCs/>
                                        <w:color w:val="3B3B3B" w:themeColor="text2"/>
                                        <w:spacing w:val="60"/>
                                        <w:sz w:val="20"/>
                                        <w:szCs w:val="20"/>
                                      </w:rPr>
                                      <w:t>)</w:t>
                                    </w:r>
                                    <w:r w:rsidR="00F84BAE">
                                      <w:rPr>
                                        <w:b/>
                                        <w:bCs/>
                                        <w:color w:val="3B3B3B" w:themeColor="text2"/>
                                        <w:spacing w:val="60"/>
                                        <w:sz w:val="20"/>
                                        <w:szCs w:val="20"/>
                                      </w:rPr>
                                      <w:t>364</w:t>
                                    </w:r>
                                    <w:r>
                                      <w:rPr>
                                        <w:b/>
                                        <w:bCs/>
                                        <w:color w:val="3B3B3B" w:themeColor="text2"/>
                                        <w:spacing w:val="60"/>
                                        <w:sz w:val="20"/>
                                        <w:szCs w:val="20"/>
                                      </w:rPr>
                                      <w:t>-9</w:t>
                                    </w:r>
                                    <w:r w:rsidR="00F84BAE">
                                      <w:rPr>
                                        <w:b/>
                                        <w:bCs/>
                                        <w:color w:val="3B3B3B" w:themeColor="text2"/>
                                        <w:spacing w:val="60"/>
                                        <w:sz w:val="20"/>
                                        <w:szCs w:val="20"/>
                                      </w:rPr>
                                      <w:t>746</w:t>
                                    </w:r>
                                  </w:p>
                                </w:sdtContent>
                              </w:sdt>
                              <w:sdt>
                                <w:sdtPr>
                                  <w:rPr>
                                    <w:b/>
                                    <w:bCs/>
                                    <w:color w:val="3B3B3B" w:themeColor="text2"/>
                                    <w:spacing w:val="60"/>
                                    <w:sz w:val="20"/>
                                    <w:szCs w:val="20"/>
                                  </w:rPr>
                                  <w:alias w:val="Fax"/>
                                  <w:id w:val="-621461224"/>
                                  <w:showingPlcHdr/>
                                  <w:dataBinding w:prefixMappings="xmlns:ns0='http://schemas.microsoft.com/office/2006/coverPageProps'" w:xpath="/ns0:CoverPageProperties[1]/ns0:CompanyFax[1]" w:storeItemID="{55AF091B-3C7A-41E3-B477-F2FDAA23CFDA}"/>
                                  <w:text/>
                                </w:sdtPr>
                                <w:sdtContent>
                                  <w:p w14:paraId="1E002800" w14:textId="6E89341A"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 xml:space="preserve">     </w:t>
                                    </w:r>
                                  </w:p>
                                </w:sdtContent>
                              </w:sdt>
                              <w:sdt>
                                <w:sdtPr>
                                  <w:rPr>
                                    <w:b/>
                                    <w:bCs/>
                                    <w:color w:val="3B3B3B" w:themeColor="text2"/>
                                    <w:spacing w:val="60"/>
                                    <w:sz w:val="20"/>
                                    <w:szCs w:val="20"/>
                                  </w:rPr>
                                  <w:alias w:val="Date"/>
                                  <w:id w:val="-2004651626"/>
                                  <w:dataBinding w:prefixMappings="xmlns:ns0='http://schemas.microsoft.com/office/2006/coverPageProps'" w:xpath="/ns0:CoverPageProperties[1]/ns0:PublishDate[1]" w:storeItemID="{55AF091B-3C7A-41E3-B477-F2FDAA23CFDA}"/>
                                  <w:date w:fullDate="2023-01-01T00:00:00Z">
                                    <w:dateFormat w:val="M/d/yyyy"/>
                                    <w:lid w:val="en-US"/>
                                    <w:storeMappedDataAs w:val="dateTime"/>
                                    <w:calendar w:val="gregorian"/>
                                  </w:date>
                                </w:sdtPr>
                                <w:sdtContent>
                                  <w:p w14:paraId="070B3D6D" w14:textId="64F2689A"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1/1/2023</w:t>
                                    </w:r>
                                  </w:p>
                                </w:sdtContent>
                              </w:sdt>
                            </w:txbxContent>
                          </wps:txbx>
                          <wps:bodyPr rot="0" spcFirstLastPara="0" vertOverflow="overflow" horzOverflow="overflow" vert="horz" wrap="square" lIns="91440" tIns="9144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45000</wp14:pctHeight>
                    </wp14:sizeRelV>
                  </wp:anchor>
                </w:drawing>
              </mc:Choice>
              <mc:Fallback>
                <w:pict>
                  <v:shapetype w14:anchorId="16BBADB8" id="_x0000_t202" coordsize="21600,21600" o:spt="202" path="m,l,21600r21600,l21600,xe">
                    <v:stroke joinstyle="miter"/>
                    <v:path gradientshapeok="t" o:connecttype="rect"/>
                  </v:shapetype>
                  <v:shape id="Text Box 386" o:spid="_x0000_s1027" type="#_x0000_t202" style="position:absolute;margin-left:0;margin-top:0;width:231.65pt;height:291.6pt;z-index:251662336;visibility:visible;mso-wrap-style:square;mso-width-percent:0;mso-height-percent:450;mso-left-percent:-50;mso-top-percent:590;mso-wrap-distance-left:9pt;mso-wrap-distance-top:0;mso-wrap-distance-right:9pt;mso-wrap-distance-bottom:0;mso-position-horizontal-relative:margin;mso-position-vertical-relative:margin;mso-width-percent:0;mso-height-percent:450;mso-left-percent:-50;mso-top-percent:59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" filled="f" stroked="f" strokeweight=".5pt">
                    <v:textbox inset=",7.2pt,,7.2pt">
                      <w:txbxContent>
                        <w:sdt>
                          <w:sdtPr>
                            <w:rPr>
                              <w:b/>
                              <w:bCs/>
                              <w:color w:val="3B3B3B" w:themeColor="text2"/>
                              <w:spacing w:val="60"/>
                              <w:sz w:val="20"/>
                              <w:szCs w:val="20"/>
                            </w:rPr>
                            <w:alias w:val="Company"/>
                            <w:id w:val="-1689900431"/>
                            <w:dataBinding w:prefixMappings="xmlns:ns0='http://schemas.openxmlformats.org/officeDocument/2006/extended-properties'" w:xpath="/ns0:Properties[1]/ns0:Company[1]" w:storeItemID="{6668398D-A668-4E3E-A5EB-62B293D839F1}"/>
                            <w:text/>
                          </w:sdtPr>
                          <w:sdtContent>
                            <w:p w14:paraId="17991E23" w14:textId="7129F057"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The Title Exchange</w:t>
                              </w:r>
                            </w:p>
                          </w:sdtContent>
                        </w:sdt>
                        <w:sdt>
                          <w:sdtPr>
                            <w:rPr>
                              <w:b/>
                              <w:bCs/>
                              <w:color w:val="3B3B3B" w:themeColor="text2"/>
                              <w:spacing w:val="60"/>
                              <w:sz w:val="20"/>
                              <w:szCs w:val="20"/>
                            </w:rPr>
                            <w:alias w:val="Address"/>
                            <w:id w:val="2146780284"/>
                            <w:dataBinding w:prefixMappings="xmlns:ns0='http://schemas.microsoft.com/office/2006/coverPageProps'" w:xpath="/ns0:CoverPageProperties[1]/ns0:CompanyAddress[1]" w:storeItemID="{55AF091B-3C7A-41E3-B477-F2FDAA23CFDA}"/>
                            <w:text w:multiLine="1"/>
                          </w:sdtPr>
                          <w:sdtContent>
                            <w:p w14:paraId="6825EA3F" w14:textId="6035D076"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2100 S Kensington Dr</w:t>
                              </w:r>
                              <w:r w:rsidR="008C0D34">
                                <w:rPr>
                                  <w:b/>
                                  <w:bCs/>
                                  <w:color w:val="3B3B3B" w:themeColor="text2"/>
                                  <w:spacing w:val="60"/>
                                  <w:sz w:val="20"/>
                                  <w:szCs w:val="20"/>
                                </w:rPr>
                                <w:t xml:space="preserve">, Suite </w:t>
                              </w:r>
                              <w:r>
                                <w:rPr>
                                  <w:b/>
                                  <w:bCs/>
                                  <w:color w:val="3B3B3B" w:themeColor="text2"/>
                                  <w:spacing w:val="60"/>
                                  <w:sz w:val="20"/>
                                  <w:szCs w:val="20"/>
                                </w:rPr>
                                <w:t>3</w:t>
                              </w:r>
                            </w:p>
                          </w:sdtContent>
                        </w:sdt>
                        <w:sdt>
                          <w:sdtPr>
                            <w:rPr>
                              <w:b/>
                              <w:bCs/>
                              <w:color w:val="3B3B3B" w:themeColor="text2"/>
                              <w:spacing w:val="60"/>
                              <w:sz w:val="20"/>
                              <w:szCs w:val="20"/>
                            </w:rPr>
                            <w:alias w:val="Phone"/>
                            <w:id w:val="-1647660158"/>
                            <w:dataBinding w:prefixMappings="xmlns:ns0='http://schemas.microsoft.com/office/2006/coverPageProps'" w:xpath="/ns0:CoverPageProperties[1]/ns0:CompanyPhone[1]" w:storeItemID="{55AF091B-3C7A-41E3-B477-F2FDAA23CFDA}"/>
                            <w:text/>
                          </w:sdtPr>
                          <w:sdtContent>
                            <w:p w14:paraId="1198624F" w14:textId="6E3537E7" w:rsidR="00566125" w:rsidRDefault="008C0D34"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w:t>
                              </w:r>
                              <w:r w:rsidR="00F84BAE">
                                <w:rPr>
                                  <w:b/>
                                  <w:bCs/>
                                  <w:color w:val="3B3B3B" w:themeColor="text2"/>
                                  <w:spacing w:val="60"/>
                                  <w:sz w:val="20"/>
                                  <w:szCs w:val="20"/>
                                </w:rPr>
                                <w:t>920</w:t>
                              </w:r>
                              <w:r>
                                <w:rPr>
                                  <w:b/>
                                  <w:bCs/>
                                  <w:color w:val="3B3B3B" w:themeColor="text2"/>
                                  <w:spacing w:val="60"/>
                                  <w:sz w:val="20"/>
                                  <w:szCs w:val="20"/>
                                </w:rPr>
                                <w:t>)</w:t>
                              </w:r>
                              <w:r w:rsidR="00F84BAE">
                                <w:rPr>
                                  <w:b/>
                                  <w:bCs/>
                                  <w:color w:val="3B3B3B" w:themeColor="text2"/>
                                  <w:spacing w:val="60"/>
                                  <w:sz w:val="20"/>
                                  <w:szCs w:val="20"/>
                                </w:rPr>
                                <w:t>364</w:t>
                              </w:r>
                              <w:r>
                                <w:rPr>
                                  <w:b/>
                                  <w:bCs/>
                                  <w:color w:val="3B3B3B" w:themeColor="text2"/>
                                  <w:spacing w:val="60"/>
                                  <w:sz w:val="20"/>
                                  <w:szCs w:val="20"/>
                                </w:rPr>
                                <w:t>-9</w:t>
                              </w:r>
                              <w:r w:rsidR="00F84BAE">
                                <w:rPr>
                                  <w:b/>
                                  <w:bCs/>
                                  <w:color w:val="3B3B3B" w:themeColor="text2"/>
                                  <w:spacing w:val="60"/>
                                  <w:sz w:val="20"/>
                                  <w:szCs w:val="20"/>
                                </w:rPr>
                                <w:t>746</w:t>
                              </w:r>
                            </w:p>
                          </w:sdtContent>
                        </w:sdt>
                        <w:sdt>
                          <w:sdtPr>
                            <w:rPr>
                              <w:b/>
                              <w:bCs/>
                              <w:color w:val="3B3B3B" w:themeColor="text2"/>
                              <w:spacing w:val="60"/>
                              <w:sz w:val="20"/>
                              <w:szCs w:val="20"/>
                            </w:rPr>
                            <w:alias w:val="Fax"/>
                            <w:id w:val="-621461224"/>
                            <w:showingPlcHdr/>
                            <w:dataBinding w:prefixMappings="xmlns:ns0='http://schemas.microsoft.com/office/2006/coverPageProps'" w:xpath="/ns0:CoverPageProperties[1]/ns0:CompanyFax[1]" w:storeItemID="{55AF091B-3C7A-41E3-B477-F2FDAA23CFDA}"/>
                            <w:text/>
                          </w:sdtPr>
                          <w:sdtContent>
                            <w:p w14:paraId="1E002800" w14:textId="6E89341A"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 xml:space="preserve">     </w:t>
                              </w:r>
                            </w:p>
                          </w:sdtContent>
                        </w:sdt>
                        <w:sdt>
                          <w:sdtPr>
                            <w:rPr>
                              <w:b/>
                              <w:bCs/>
                              <w:color w:val="3B3B3B" w:themeColor="text2"/>
                              <w:spacing w:val="60"/>
                              <w:sz w:val="20"/>
                              <w:szCs w:val="20"/>
                            </w:rPr>
                            <w:alias w:val="Date"/>
                            <w:id w:val="-2004651626"/>
                            <w:dataBinding w:prefixMappings="xmlns:ns0='http://schemas.microsoft.com/office/2006/coverPageProps'" w:xpath="/ns0:CoverPageProperties[1]/ns0:PublishDate[1]" w:storeItemID="{55AF091B-3C7A-41E3-B477-F2FDAA23CFDA}"/>
                            <w:date w:fullDate="2023-01-01T00:00:00Z">
                              <w:dateFormat w:val="M/d/yyyy"/>
                              <w:lid w:val="en-US"/>
                              <w:storeMappedDataAs w:val="dateTime"/>
                              <w:calendar w:val="gregorian"/>
                            </w:date>
                          </w:sdtPr>
                          <w:sdtContent>
                            <w:p w14:paraId="070B3D6D" w14:textId="64F2689A" w:rsidR="00566125" w:rsidRDefault="00F84BAE" w:rsidP="00744471">
                              <w:pPr>
                                <w:spacing w:line="240" w:lineRule="auto"/>
                                <w:suppressOverlap/>
                                <w:jc w:val="right"/>
                                <w:rPr>
                                  <w:b/>
                                  <w:bCs/>
                                  <w:color w:val="3B3B3B" w:themeColor="text2"/>
                                  <w:spacing w:val="60"/>
                                  <w:sz w:val="20"/>
                                  <w:szCs w:val="20"/>
                                </w:rPr>
                              </w:pPr>
                              <w:r>
                                <w:rPr>
                                  <w:b/>
                                  <w:bCs/>
                                  <w:color w:val="3B3B3B" w:themeColor="text2"/>
                                  <w:spacing w:val="60"/>
                                  <w:sz w:val="20"/>
                                  <w:szCs w:val="20"/>
                                </w:rPr>
                                <w:t>1/1/2023</w:t>
                              </w:r>
                            </w:p>
                          </w:sdtContent>
                        </w:sdt>
                      </w:txbxContent>
                    </v:textbox>
                    <w10:wrap anchorx="margin" anchory="margin"/>
                  </v:shape>
                </w:pict>
              </mc:Fallback>
            </mc:AlternateContent>
          </w:r>
          <w:r>
            <w:rPr>
              <w:noProof/>
            </w:rPr>
            <mc:AlternateContent>
              <mc:Choice Requires="wps">
                <w:drawing>
                  <wp:anchor distT="0" distB="0" distL="114300" distR="114300" simplePos="0" relativeHeight="251663360" behindDoc="0" locked="0" layoutInCell="1" allowOverlap="1" wp14:anchorId="6F4C11C9" wp14:editId="255DC253">
                    <wp:simplePos x="0" y="0"/>
                    <mc:AlternateContent>
                      <mc:Choice Requires="wp14">
                        <wp:positionH relativeFrom="margin">
                          <wp14:pctPosHOffset>44500</wp14:pctPosHOffset>
                        </wp:positionH>
                      </mc:Choice>
                      <mc:Fallback>
                        <wp:positionH relativeFrom="page">
                          <wp:posOffset>3559175</wp:posOffset>
                        </wp:positionH>
                      </mc:Fallback>
                    </mc:AlternateContent>
                    <mc:AlternateContent>
                      <mc:Choice Requires="wp14">
                        <wp:positionV relativeFrom="margin">
                          <wp14:pctPosVOffset>59000</wp14:pctPosVOffset>
                        </wp:positionV>
                      </mc:Choice>
                      <mc:Fallback>
                        <wp:positionV relativeFrom="page">
                          <wp:posOffset>5769610</wp:posOffset>
                        </wp:positionV>
                      </mc:Fallback>
                    </mc:AlternateContent>
                    <wp:extent cx="3596005" cy="3703320"/>
                    <wp:effectExtent l="0" t="0" r="0" b="0"/>
                    <wp:wrapNone/>
                    <wp:docPr id="387" name="Text Box 387"/>
                    <wp:cNvGraphicFramePr/>
                    <a:graphic xmlns:a="http://schemas.openxmlformats.org/drawingml/2006/main">
                      <a:graphicData uri="http://schemas.microsoft.com/office/word/2010/wordprocessingShape">
                        <wps:wsp>
                          <wps:cNvSpPr txBox="1"/>
                          <wps:spPr>
                            <a:xfrm>
                              <a:off x="0" y="0"/>
                              <a:ext cx="3596005" cy="37033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BC12D3" w14:textId="4E65C0D6" w:rsidR="00566125" w:rsidRPr="00F9578C" w:rsidRDefault="00F84BAE">
                                <w:pPr>
                                  <w:suppressOverlap/>
                                  <w:rPr>
                                    <w:rFonts w:asciiTheme="majorHAnsi" w:eastAsiaTheme="majorEastAsia" w:hAnsiTheme="majorHAnsi" w:cstheme="majorBidi"/>
                                    <w:color w:val="3B3B3B" w:themeColor="text2"/>
                                    <w:sz w:val="72"/>
                                    <w:szCs w:val="72"/>
                                  </w:rPr>
                                </w:pPr>
                                <w:r>
                                  <w:rPr>
                                    <w:rFonts w:asciiTheme="majorHAnsi" w:eastAsiaTheme="majorEastAsia" w:hAnsiTheme="majorHAnsi" w:cstheme="majorBidi"/>
                                    <w:noProof/>
                                    <w:color w:val="3B3B3B" w:themeColor="text2"/>
                                    <w:sz w:val="72"/>
                                    <w:szCs w:val="72"/>
                                  </w:rPr>
                                  <w:drawing>
                                    <wp:inline distT="0" distB="0" distL="0" distR="0" wp14:anchorId="30A3BA58" wp14:editId="41DAB684">
                                      <wp:extent cx="3406775" cy="1236345"/>
                                      <wp:effectExtent l="0" t="0" r="3175"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a:extLst>
                                                  <a:ext uri="{28A0092B-C50C-407E-A947-70E740481C1C}">
                                                    <a14:useLocalDpi xmlns:a14="http://schemas.microsoft.com/office/drawing/2010/main" val="0"/>
                                                  </a:ext>
                                                </a:extLst>
                                              </a:blip>
                                              <a:stretch>
                                                <a:fillRect/>
                                              </a:stretch>
                                            </pic:blipFill>
                                            <pic:spPr>
                                              <a:xfrm>
                                                <a:off x="0" y="0"/>
                                                <a:ext cx="3406775" cy="1236345"/>
                                              </a:xfrm>
                                              <a:prstGeom prst="rect">
                                                <a:avLst/>
                                              </a:prstGeom>
                                            </pic:spPr>
                                          </pic:pic>
                                        </a:graphicData>
                                      </a:graphic>
                                    </wp:inline>
                                  </w:drawing>
                                </w:r>
                              </w:p>
                              <w:p w14:paraId="532ADA41" w14:textId="77777777" w:rsidR="00566125" w:rsidRPr="00F9578C" w:rsidRDefault="00566125">
                                <w:pPr>
                                  <w:suppressOverlap/>
                                  <w:rPr>
                                    <w:rFonts w:asciiTheme="majorHAnsi" w:eastAsiaTheme="majorEastAsia" w:hAnsiTheme="majorHAnsi" w:cstheme="majorBidi"/>
                                    <w:color w:val="3B3B3B" w:themeColor="text2"/>
                                    <w:sz w:val="72"/>
                                    <w:szCs w:val="72"/>
                                  </w:rPr>
                                </w:pPr>
                              </w:p>
                              <w:p w14:paraId="2E03D2E5" w14:textId="77777777" w:rsidR="00566125" w:rsidRDefault="00566125">
                                <w:pPr>
                                  <w:suppressOverlap/>
                                  <w:rPr>
                                    <w:color w:val="3B3B3B" w:themeColor="text2"/>
                                  </w:rPr>
                                </w:pPr>
                              </w:p>
                            </w:txbxContent>
                          </wps:txbx>
                          <wps:bodyPr rot="0" spcFirstLastPara="0" vertOverflow="overflow" horzOverflow="overflow" vert="horz" wrap="square" lIns="91440" tIns="182880" rIns="91440" bIns="91440" numCol="1" spcCol="0" rtlCol="0" fromWordArt="0" anchor="t" anchorCtr="0" forceAA="0" compatLnSpc="1">
                            <a:prstTxWarp prst="textNoShape">
                              <a:avLst/>
                            </a:prstTxWarp>
                            <a:noAutofit/>
                          </wps:bodyPr>
                        </wps:wsp>
                      </a:graphicData>
                    </a:graphic>
                    <wp14:sizeRelH relativeFrom="margin">
                      <wp14:pctWidth>60500</wp14:pctWidth>
                    </wp14:sizeRelH>
                    <wp14:sizeRelV relativeFrom="margin">
                      <wp14:pctHeight>45000</wp14:pctHeight>
                    </wp14:sizeRelV>
                  </wp:anchor>
                </w:drawing>
              </mc:Choice>
              <mc:Fallback>
                <w:pict>
                  <v:shape w14:anchorId="6F4C11C9" id="Text Box 387" o:spid="_x0000_s1028" type="#_x0000_t202" style="position:absolute;margin-left:0;margin-top:0;width:283.15pt;height:291.6pt;z-index:251663360;visibility:visible;mso-wrap-style:square;mso-width-percent:605;mso-height-percent:450;mso-left-percent:445;mso-top-percent:590;mso-wrap-distance-left:9pt;mso-wrap-distance-top:0;mso-wrap-distance-right:9pt;mso-wrap-distance-bottom:0;mso-position-horizontal-relative:margin;mso-position-vertical-relative:margin;mso-width-percent:605;mso-height-percent:450;mso-left-percent:445;mso-top-percent:59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" filled="f" stroked="f" strokeweight=".5pt">
                    <v:textbox inset=",14.4pt,,7.2pt">
                      <w:txbxContent>
                        <w:p w14:paraId="1DBC12D3" w14:textId="4E65C0D6" w:rsidR="00566125" w:rsidRPr="00F9578C" w:rsidRDefault="00F84BAE">
                          <w:pPr>
                            <w:suppressOverlap/>
                            <w:rPr>
                              <w:rFonts w:asciiTheme="majorHAnsi" w:eastAsiaTheme="majorEastAsia" w:hAnsiTheme="majorHAnsi" w:cstheme="majorBidi"/>
                              <w:color w:val="3B3B3B" w:themeColor="text2"/>
                              <w:sz w:val="72"/>
                              <w:szCs w:val="72"/>
                            </w:rPr>
                          </w:pPr>
                          <w:r>
                            <w:rPr>
                              <w:rFonts w:asciiTheme="majorHAnsi" w:eastAsiaTheme="majorEastAsia" w:hAnsiTheme="majorHAnsi" w:cstheme="majorBidi"/>
                              <w:noProof/>
                              <w:color w:val="3B3B3B" w:themeColor="text2"/>
                              <w:sz w:val="72"/>
                              <w:szCs w:val="72"/>
                            </w:rPr>
                            <w:drawing>
                              <wp:inline distT="0" distB="0" distL="0" distR="0" wp14:anchorId="30A3BA58" wp14:editId="41DAB684">
                                <wp:extent cx="3406775" cy="1236345"/>
                                <wp:effectExtent l="0" t="0" r="3175"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a:extLst>
                                            <a:ext uri="{28A0092B-C50C-407E-A947-70E740481C1C}">
                                              <a14:useLocalDpi xmlns:a14="http://schemas.microsoft.com/office/drawing/2010/main" val="0"/>
                                            </a:ext>
                                          </a:extLst>
                                        </a:blip>
                                        <a:stretch>
                                          <a:fillRect/>
                                        </a:stretch>
                                      </pic:blipFill>
                                      <pic:spPr>
                                        <a:xfrm>
                                          <a:off x="0" y="0"/>
                                          <a:ext cx="3406775" cy="1236345"/>
                                        </a:xfrm>
                                        <a:prstGeom prst="rect">
                                          <a:avLst/>
                                        </a:prstGeom>
                                      </pic:spPr>
                                    </pic:pic>
                                  </a:graphicData>
                                </a:graphic>
                              </wp:inline>
                            </w:drawing>
                          </w:r>
                        </w:p>
                        <w:p w14:paraId="532ADA41" w14:textId="77777777" w:rsidR="00566125" w:rsidRPr="00F9578C" w:rsidRDefault="00566125">
                          <w:pPr>
                            <w:suppressOverlap/>
                            <w:rPr>
                              <w:rFonts w:asciiTheme="majorHAnsi" w:eastAsiaTheme="majorEastAsia" w:hAnsiTheme="majorHAnsi" w:cstheme="majorBidi"/>
                              <w:color w:val="3B3B3B" w:themeColor="text2"/>
                              <w:sz w:val="72"/>
                              <w:szCs w:val="72"/>
                            </w:rPr>
                          </w:pPr>
                        </w:p>
                        <w:p w14:paraId="2E03D2E5" w14:textId="77777777" w:rsidR="00566125" w:rsidRDefault="00566125">
                          <w:pPr>
                            <w:suppressOverlap/>
                            <w:rPr>
                              <w:color w:val="3B3B3B" w:themeColor="text2"/>
                            </w:rPr>
                          </w:pPr>
                        </w:p>
                      </w:txbxContent>
                    </v:textbox>
                    <w10:wrap anchorx="margin" anchory="margin"/>
                  </v:shape>
                </w:pict>
              </mc:Fallback>
            </mc:AlternateContent>
          </w:r>
          <w:r>
            <w:rPr>
              <w:b/>
              <w:sz w:val="28"/>
              <w:szCs w:val="28"/>
            </w:rPr>
            <w:br w:type="page"/>
          </w:r>
        </w:p>
      </w:sdtContent>
    </w:sdt>
    <w:p w14:paraId="768BAF61" w14:textId="2F48CB12" w:rsidR="00B26D1C" w:rsidRPr="00B26D1C" w:rsidRDefault="00F84BAE" w:rsidP="00B26D1C">
      <w:pPr>
        <w:jc w:val="center"/>
        <w:rPr>
          <w:b/>
          <w:sz w:val="28"/>
          <w:szCs w:val="28"/>
        </w:rPr>
      </w:pPr>
      <w:r>
        <w:rPr>
          <w:b/>
          <w:sz w:val="28"/>
          <w:szCs w:val="28"/>
        </w:rPr>
        <w:lastRenderedPageBreak/>
        <w:t>The Title Exchange</w:t>
      </w:r>
    </w:p>
    <w:p w14:paraId="67D4201D" w14:textId="77777777" w:rsidR="00B26D1C" w:rsidRDefault="00B26D1C" w:rsidP="00B26D1C">
      <w:pPr>
        <w:jc w:val="center"/>
        <w:rPr>
          <w:b/>
        </w:rPr>
      </w:pPr>
      <w:r>
        <w:rPr>
          <w:b/>
        </w:rPr>
        <w:t xml:space="preserve">ALTA Policy and Procedure </w:t>
      </w:r>
    </w:p>
    <w:p w14:paraId="4FE0DD77"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Mission Statement and Definitions</w:t>
      </w:r>
      <w:r w:rsidR="0033312D">
        <w:rPr>
          <w:rFonts w:ascii="Arial" w:hAnsi="Arial" w:cs="Arial"/>
          <w:sz w:val="20"/>
          <w:szCs w:val="20"/>
        </w:rPr>
        <w:tab/>
        <w:t>2</w:t>
      </w:r>
    </w:p>
    <w:p w14:paraId="009CEB69"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 xml:space="preserve">Section 1: Best Practice Pillar #1 </w:t>
      </w:r>
      <w:r w:rsidR="00135966">
        <w:rPr>
          <w:rFonts w:ascii="Arial" w:hAnsi="Arial" w:cs="Arial"/>
          <w:sz w:val="20"/>
          <w:szCs w:val="20"/>
        </w:rPr>
        <w:t>-</w:t>
      </w:r>
      <w:r w:rsidRPr="00B26D1C">
        <w:rPr>
          <w:rFonts w:ascii="Arial" w:hAnsi="Arial" w:cs="Arial"/>
          <w:sz w:val="20"/>
          <w:szCs w:val="20"/>
        </w:rPr>
        <w:t xml:space="preserve"> Licensing</w:t>
      </w:r>
      <w:r w:rsidR="00B7277B">
        <w:rPr>
          <w:rFonts w:ascii="Arial" w:hAnsi="Arial" w:cs="Arial"/>
          <w:sz w:val="20"/>
          <w:szCs w:val="20"/>
        </w:rPr>
        <w:tab/>
        <w:t>4</w:t>
      </w:r>
    </w:p>
    <w:p w14:paraId="1EFFD212"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Section 2: Best Practice Pillar #2 - Escrow Trust Accounting</w:t>
      </w:r>
      <w:r w:rsidR="00B7277B">
        <w:rPr>
          <w:rFonts w:ascii="Arial" w:hAnsi="Arial" w:cs="Arial"/>
          <w:sz w:val="20"/>
          <w:szCs w:val="20"/>
        </w:rPr>
        <w:tab/>
        <w:t>4</w:t>
      </w:r>
    </w:p>
    <w:p w14:paraId="572AB57C"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Section 3: Best Practice Pillar #3 - Privacy and Information Security</w:t>
      </w:r>
      <w:r w:rsidR="00B7277B">
        <w:rPr>
          <w:rFonts w:ascii="Arial" w:hAnsi="Arial" w:cs="Arial"/>
          <w:sz w:val="20"/>
          <w:szCs w:val="20"/>
        </w:rPr>
        <w:tab/>
        <w:t>6</w:t>
      </w:r>
    </w:p>
    <w:p w14:paraId="1C813D30"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Section 4: Best Practice Pillar #4 - Settlement Process</w:t>
      </w:r>
      <w:r w:rsidR="00B7277B">
        <w:rPr>
          <w:rFonts w:ascii="Arial" w:hAnsi="Arial" w:cs="Arial"/>
          <w:sz w:val="20"/>
          <w:szCs w:val="20"/>
        </w:rPr>
        <w:tab/>
        <w:t>7</w:t>
      </w:r>
    </w:p>
    <w:p w14:paraId="25152239"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Section 5: Best Practice Pillar #5 - Policy production, delivery, reporting and premium remittance</w:t>
      </w:r>
      <w:r w:rsidR="00B7277B">
        <w:rPr>
          <w:rFonts w:ascii="Arial" w:hAnsi="Arial" w:cs="Arial"/>
          <w:sz w:val="20"/>
          <w:szCs w:val="20"/>
        </w:rPr>
        <w:tab/>
        <w:t>8</w:t>
      </w:r>
    </w:p>
    <w:p w14:paraId="36CE98A2"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w:t>
      </w:r>
      <w:r w:rsidR="00135966">
        <w:rPr>
          <w:rFonts w:ascii="Arial" w:hAnsi="Arial" w:cs="Arial"/>
          <w:sz w:val="20"/>
          <w:szCs w:val="20"/>
        </w:rPr>
        <w:t>ion 6: Best Practice Pillar #6 -</w:t>
      </w:r>
      <w:r w:rsidRPr="00B26D1C">
        <w:rPr>
          <w:rFonts w:ascii="Arial" w:hAnsi="Arial" w:cs="Arial"/>
          <w:sz w:val="20"/>
          <w:szCs w:val="20"/>
        </w:rPr>
        <w:t xml:space="preserve"> Professional Liability Insurance and Fidelity Coverage</w:t>
      </w:r>
      <w:r w:rsidR="00B7277B">
        <w:rPr>
          <w:rFonts w:ascii="Arial" w:hAnsi="Arial" w:cs="Arial"/>
          <w:sz w:val="20"/>
          <w:szCs w:val="20"/>
        </w:rPr>
        <w:tab/>
        <w:t>9</w:t>
      </w:r>
    </w:p>
    <w:p w14:paraId="2EC253F9" w14:textId="77777777" w:rsidR="00B26D1C" w:rsidRPr="00B26D1C" w:rsidRDefault="00B26D1C" w:rsidP="00B7277B">
      <w:pPr>
        <w:tabs>
          <w:tab w:val="right" w:leader="dot" w:pos="9360"/>
          <w:tab w:val="right" w:leader="dot" w:pos="10080"/>
        </w:tabs>
        <w:rPr>
          <w:rFonts w:ascii="Arial" w:hAnsi="Arial" w:cs="Arial"/>
          <w:sz w:val="20"/>
          <w:szCs w:val="20"/>
        </w:rPr>
      </w:pPr>
      <w:r w:rsidRPr="00B26D1C">
        <w:rPr>
          <w:rFonts w:ascii="Arial" w:hAnsi="Arial" w:cs="Arial"/>
          <w:sz w:val="20"/>
          <w:szCs w:val="20"/>
        </w:rPr>
        <w:t>Section 7: Best Practice Pillar #7 - Consumer Complaints</w:t>
      </w:r>
      <w:r w:rsidR="00B7277B">
        <w:rPr>
          <w:rFonts w:ascii="Arial" w:hAnsi="Arial" w:cs="Arial"/>
          <w:sz w:val="20"/>
          <w:szCs w:val="20"/>
        </w:rPr>
        <w:tab/>
        <w:t>9</w:t>
      </w:r>
    </w:p>
    <w:p w14:paraId="701C381E" w14:textId="77777777" w:rsidR="005D0A08" w:rsidRDefault="00D240BD" w:rsidP="00FB51ED">
      <w:pPr>
        <w:rPr>
          <w:rFonts w:ascii="Arial" w:hAnsi="Arial" w:cs="Arial"/>
          <w:b/>
          <w:sz w:val="28"/>
          <w:szCs w:val="28"/>
        </w:rPr>
      </w:pPr>
      <w:r>
        <w:rPr>
          <w:rFonts w:ascii="Arial" w:hAnsi="Arial" w:cs="Arial"/>
          <w:b/>
          <w:sz w:val="28"/>
          <w:szCs w:val="28"/>
        </w:rPr>
        <w:br w:type="page"/>
      </w:r>
    </w:p>
    <w:p w14:paraId="05A1CDBD" w14:textId="77777777" w:rsidR="00B3265E" w:rsidRPr="005D0A08" w:rsidRDefault="00B3265E" w:rsidP="00B3265E">
      <w:pPr>
        <w:jc w:val="center"/>
        <w:rPr>
          <w:rFonts w:ascii="Arial" w:hAnsi="Arial" w:cs="Arial"/>
          <w:b/>
          <w:sz w:val="28"/>
          <w:szCs w:val="28"/>
        </w:rPr>
      </w:pPr>
      <w:r w:rsidRPr="005D0A08">
        <w:rPr>
          <w:rFonts w:ascii="Arial" w:hAnsi="Arial" w:cs="Arial"/>
          <w:b/>
          <w:sz w:val="28"/>
          <w:szCs w:val="28"/>
        </w:rPr>
        <w:lastRenderedPageBreak/>
        <w:t>Title Insurance and Settlement Company Best Practices</w:t>
      </w:r>
    </w:p>
    <w:p w14:paraId="2B5E826F" w14:textId="77777777" w:rsidR="00B3265E" w:rsidRPr="00672C0B" w:rsidRDefault="00B3265E" w:rsidP="00B3265E">
      <w:pPr>
        <w:rPr>
          <w:rFonts w:ascii="Arial" w:hAnsi="Arial" w:cs="Arial"/>
          <w:b/>
          <w:sz w:val="20"/>
          <w:szCs w:val="20"/>
        </w:rPr>
      </w:pPr>
      <w:r w:rsidRPr="00672C0B">
        <w:rPr>
          <w:rFonts w:ascii="Arial" w:hAnsi="Arial" w:cs="Arial"/>
          <w:b/>
          <w:sz w:val="20"/>
          <w:szCs w:val="20"/>
        </w:rPr>
        <w:t xml:space="preserve">Mission Statement </w:t>
      </w:r>
    </w:p>
    <w:p w14:paraId="63BEADB2" w14:textId="77777777" w:rsidR="00B3265E" w:rsidRPr="00672C0B" w:rsidRDefault="00B3265E" w:rsidP="00B3265E">
      <w:pPr>
        <w:pStyle w:val="ListParagraph"/>
        <w:numPr>
          <w:ilvl w:val="0"/>
          <w:numId w:val="6"/>
        </w:numPr>
        <w:rPr>
          <w:rFonts w:ascii="Arial" w:hAnsi="Arial" w:cs="Arial"/>
          <w:sz w:val="20"/>
          <w:szCs w:val="20"/>
        </w:rPr>
      </w:pPr>
      <w:r w:rsidRPr="00672C0B">
        <w:rPr>
          <w:rFonts w:ascii="Arial" w:hAnsi="Arial" w:cs="Arial"/>
          <w:sz w:val="20"/>
          <w:szCs w:val="20"/>
        </w:rPr>
        <w:t xml:space="preserve">ALTA seeks to guide its membership on best practices to protect consumers, promote quality service, provide for ongoing employee training, and meet legal and market requirements. These practices are voluntary and designed to help members illustrate to consumers and clients the industry’s professionalism and best practices to </w:t>
      </w:r>
      <w:r>
        <w:rPr>
          <w:rFonts w:ascii="Arial" w:hAnsi="Arial" w:cs="Arial"/>
          <w:sz w:val="20"/>
          <w:szCs w:val="20"/>
        </w:rPr>
        <w:t xml:space="preserve">help </w:t>
      </w:r>
      <w:r w:rsidRPr="00672C0B">
        <w:rPr>
          <w:rFonts w:ascii="Arial" w:hAnsi="Arial" w:cs="Arial"/>
          <w:sz w:val="20"/>
          <w:szCs w:val="20"/>
        </w:rPr>
        <w:t>ensure a positive and compliant real estate settlement experience. These best practices are not intended to encompass all aspects of title or settlement company activity.</w:t>
      </w:r>
    </w:p>
    <w:p w14:paraId="251A698C" w14:textId="77777777" w:rsidR="00B3265E" w:rsidRPr="00672C0B" w:rsidRDefault="00B3265E" w:rsidP="00B3265E">
      <w:pPr>
        <w:pStyle w:val="ListParagraph"/>
        <w:ind w:left="1080"/>
        <w:rPr>
          <w:rFonts w:ascii="Arial" w:hAnsi="Arial" w:cs="Arial"/>
          <w:sz w:val="20"/>
          <w:szCs w:val="20"/>
        </w:rPr>
      </w:pPr>
    </w:p>
    <w:p w14:paraId="014FD836" w14:textId="77777777" w:rsidR="00B3265E" w:rsidRPr="00672C0B" w:rsidRDefault="00B3265E" w:rsidP="00B3265E">
      <w:pPr>
        <w:pStyle w:val="ListParagraph"/>
        <w:numPr>
          <w:ilvl w:val="0"/>
          <w:numId w:val="6"/>
        </w:numPr>
        <w:rPr>
          <w:rFonts w:ascii="Arial" w:hAnsi="Arial" w:cs="Arial"/>
          <w:sz w:val="20"/>
          <w:szCs w:val="20"/>
        </w:rPr>
      </w:pPr>
      <w:r w:rsidRPr="00672C0B">
        <w:rPr>
          <w:rFonts w:ascii="Arial" w:hAnsi="Arial" w:cs="Arial"/>
          <w:sz w:val="20"/>
          <w:szCs w:val="20"/>
        </w:rPr>
        <w:t>ALTA is publishing these best practices for the mortgage lending and real estate settlement industry. ALTA accepts comments from stakeholders as the Association seeks to continually improve these best practices. A formal committee of ALTA members regularly reviews and make</w:t>
      </w:r>
      <w:r>
        <w:rPr>
          <w:rFonts w:ascii="Arial" w:hAnsi="Arial" w:cs="Arial"/>
          <w:sz w:val="20"/>
          <w:szCs w:val="20"/>
        </w:rPr>
        <w:t>s</w:t>
      </w:r>
      <w:r w:rsidRPr="00672C0B">
        <w:rPr>
          <w:rFonts w:ascii="Arial" w:hAnsi="Arial" w:cs="Arial"/>
          <w:sz w:val="20"/>
          <w:szCs w:val="20"/>
        </w:rPr>
        <w:t xml:space="preserve"> improvements to these best practices, seeking comment on each revision. </w:t>
      </w:r>
    </w:p>
    <w:p w14:paraId="6F263381" w14:textId="77777777" w:rsidR="00B3265E" w:rsidRPr="00672C0B" w:rsidRDefault="00B3265E" w:rsidP="00B3265E">
      <w:pPr>
        <w:rPr>
          <w:rFonts w:ascii="Arial" w:hAnsi="Arial" w:cs="Arial"/>
          <w:b/>
          <w:sz w:val="20"/>
          <w:szCs w:val="20"/>
          <w:u w:val="single"/>
        </w:rPr>
      </w:pPr>
      <w:r w:rsidRPr="00672C0B">
        <w:rPr>
          <w:rFonts w:ascii="Arial" w:hAnsi="Arial" w:cs="Arial"/>
          <w:b/>
          <w:sz w:val="20"/>
          <w:szCs w:val="20"/>
          <w:u w:val="single"/>
        </w:rPr>
        <w:t>Definitions</w:t>
      </w:r>
    </w:p>
    <w:p w14:paraId="2792DC4B"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Background Check:  </w:t>
      </w:r>
      <w:r w:rsidRPr="00672C0B">
        <w:rPr>
          <w:rFonts w:ascii="Arial" w:hAnsi="Arial" w:cs="Arial"/>
          <w:sz w:val="20"/>
          <w:szCs w:val="20"/>
        </w:rPr>
        <w:t>A background check is the process of compiling and reviewing both confidential and public employment, address, and criminal records of an individual or an organization. Background checks may be limited in geographic scope. This provision and use of these reports are subject to the limitations of federal and state law.</w:t>
      </w:r>
    </w:p>
    <w:p w14:paraId="4819F500" w14:textId="77777777" w:rsidR="00B3265E" w:rsidRPr="00672C0B" w:rsidRDefault="00B3265E" w:rsidP="00B3265E">
      <w:pPr>
        <w:rPr>
          <w:rFonts w:ascii="Arial" w:hAnsi="Arial" w:cs="Arial"/>
          <w:sz w:val="20"/>
          <w:szCs w:val="20"/>
        </w:rPr>
      </w:pPr>
      <w:r w:rsidRPr="00672C0B">
        <w:rPr>
          <w:rFonts w:ascii="Arial" w:hAnsi="Arial" w:cs="Arial"/>
          <w:b/>
          <w:sz w:val="20"/>
          <w:szCs w:val="20"/>
        </w:rPr>
        <w:t>Company</w:t>
      </w:r>
      <w:r w:rsidRPr="00672C0B">
        <w:rPr>
          <w:rFonts w:ascii="Arial" w:hAnsi="Arial" w:cs="Arial"/>
          <w:sz w:val="20"/>
          <w:szCs w:val="20"/>
        </w:rPr>
        <w:t>:  The entity implementing these best practices.</w:t>
      </w:r>
    </w:p>
    <w:p w14:paraId="26D8CCFB"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Escrow:  </w:t>
      </w:r>
      <w:r w:rsidRPr="00672C0B">
        <w:rPr>
          <w:rFonts w:ascii="Arial" w:hAnsi="Arial" w:cs="Arial"/>
          <w:sz w:val="20"/>
          <w:szCs w:val="20"/>
        </w:rPr>
        <w:t>A transaction in which an impartial third party acts in a fiduciary capacity for the seller, buyer, borrower, or lender in performing the closing for a real estate transaction according to local practice and custom. The escrow holders have fiduciary responsibility for prudent processing, safeguarding and accounting for funds and documents entrusted to them.</w:t>
      </w:r>
    </w:p>
    <w:p w14:paraId="663C73B3"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Escrow Trust Account: </w:t>
      </w:r>
      <w:r w:rsidRPr="00672C0B">
        <w:rPr>
          <w:rFonts w:ascii="Arial" w:hAnsi="Arial" w:cs="Arial"/>
          <w:sz w:val="20"/>
          <w:szCs w:val="20"/>
        </w:rPr>
        <w:t xml:space="preserve">An account </w:t>
      </w:r>
      <w:r w:rsidRPr="00672C0B">
        <w:rPr>
          <w:rFonts w:ascii="Arial" w:eastAsia="Times New Roman" w:hAnsi="Arial" w:cs="Arial"/>
          <w:sz w:val="20"/>
          <w:szCs w:val="20"/>
        </w:rPr>
        <w:t xml:space="preserve">to hold funds in trust for third parties, including parties to a real estate transaction. These funds are held subject to a </w:t>
      </w:r>
      <w:r w:rsidRPr="00672C0B">
        <w:rPr>
          <w:rFonts w:ascii="Arial" w:hAnsi="Arial" w:cs="Arial"/>
          <w:sz w:val="20"/>
          <w:szCs w:val="20"/>
        </w:rPr>
        <w:t>fiduciary capacity as established by written instructions.</w:t>
      </w:r>
    </w:p>
    <w:p w14:paraId="382F94E9"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Federally Insured Financial Institutions: </w:t>
      </w:r>
      <w:r w:rsidRPr="00672C0B">
        <w:rPr>
          <w:rFonts w:ascii="Arial" w:hAnsi="Arial" w:cs="Arial"/>
          <w:sz w:val="20"/>
          <w:szCs w:val="20"/>
        </w:rPr>
        <w:t>A financial institution that has its deposits insured by an instrumentality of the federal government, including the Federal Deposit Insurance Corporation (FDIC) and National Credit Union Administration (NCUA).</w:t>
      </w:r>
    </w:p>
    <w:p w14:paraId="1470844A" w14:textId="77777777" w:rsidR="003669FF" w:rsidRDefault="00B3265E" w:rsidP="00B3265E">
      <w:pPr>
        <w:rPr>
          <w:rFonts w:ascii="Arial" w:hAnsi="Arial" w:cs="Arial"/>
          <w:sz w:val="20"/>
          <w:szCs w:val="20"/>
        </w:rPr>
      </w:pPr>
      <w:r w:rsidRPr="00672C0B">
        <w:rPr>
          <w:rFonts w:ascii="Arial" w:hAnsi="Arial" w:cs="Arial"/>
          <w:b/>
          <w:sz w:val="20"/>
          <w:szCs w:val="20"/>
        </w:rPr>
        <w:t>Licenses:</w:t>
      </w:r>
      <w:r w:rsidRPr="00672C0B">
        <w:rPr>
          <w:rFonts w:ascii="Arial" w:hAnsi="Arial" w:cs="Arial"/>
          <w:sz w:val="20"/>
          <w:szCs w:val="20"/>
        </w:rPr>
        <w:t xml:space="preserve">  Title Agent or Producer License or registration, or any other business licensing requirement as required by state law, or a license to practice law, where applicable.</w:t>
      </w:r>
    </w:p>
    <w:p w14:paraId="3B8FD5F6" w14:textId="249DA474" w:rsidR="00B3265E" w:rsidRPr="00672C0B" w:rsidRDefault="00F84BAE" w:rsidP="00B3265E">
      <w:pPr>
        <w:rPr>
          <w:rFonts w:ascii="Arial" w:hAnsi="Arial" w:cs="Arial"/>
          <w:sz w:val="20"/>
          <w:szCs w:val="20"/>
        </w:rPr>
      </w:pPr>
      <w:r>
        <w:rPr>
          <w:rFonts w:ascii="Arial" w:hAnsi="Arial" w:cs="Arial"/>
          <w:b/>
          <w:sz w:val="20"/>
          <w:szCs w:val="20"/>
        </w:rPr>
        <w:t>The Title Exchange</w:t>
      </w:r>
      <w:r w:rsidR="003669FF" w:rsidRPr="003669FF">
        <w:rPr>
          <w:rFonts w:ascii="Arial" w:hAnsi="Arial" w:cs="Arial"/>
          <w:b/>
          <w:sz w:val="20"/>
          <w:szCs w:val="20"/>
        </w:rPr>
        <w:t>:</w:t>
      </w:r>
      <w:r w:rsidR="003669FF">
        <w:rPr>
          <w:rFonts w:ascii="Arial" w:hAnsi="Arial" w:cs="Arial"/>
          <w:sz w:val="20"/>
          <w:szCs w:val="20"/>
        </w:rPr>
        <w:t xml:space="preserve"> </w:t>
      </w:r>
      <w:r>
        <w:rPr>
          <w:rFonts w:ascii="Arial" w:hAnsi="Arial" w:cs="Arial"/>
          <w:sz w:val="20"/>
          <w:szCs w:val="20"/>
        </w:rPr>
        <w:t>The Title Exchange</w:t>
      </w:r>
      <w:r w:rsidR="003669FF">
        <w:rPr>
          <w:rFonts w:ascii="Arial" w:hAnsi="Arial" w:cs="Arial"/>
          <w:sz w:val="20"/>
          <w:szCs w:val="20"/>
        </w:rPr>
        <w:t xml:space="preserve"> of </w:t>
      </w:r>
      <w:r>
        <w:rPr>
          <w:rFonts w:ascii="Arial" w:hAnsi="Arial" w:cs="Arial"/>
          <w:sz w:val="20"/>
          <w:szCs w:val="20"/>
        </w:rPr>
        <w:t>Key Title LLC.</w:t>
      </w:r>
      <w:r w:rsidR="00B3265E" w:rsidRPr="00672C0B">
        <w:rPr>
          <w:rFonts w:ascii="Arial" w:hAnsi="Arial" w:cs="Arial"/>
          <w:sz w:val="20"/>
          <w:szCs w:val="20"/>
        </w:rPr>
        <w:t xml:space="preserve"> </w:t>
      </w:r>
    </w:p>
    <w:p w14:paraId="1810185C" w14:textId="77777777" w:rsidR="00B3265E" w:rsidRPr="00672C0B" w:rsidRDefault="00B3265E" w:rsidP="00B3265E">
      <w:pPr>
        <w:rPr>
          <w:rFonts w:ascii="Arial" w:hAnsi="Arial" w:cs="Arial"/>
          <w:b/>
          <w:sz w:val="20"/>
          <w:szCs w:val="20"/>
        </w:rPr>
      </w:pPr>
      <w:r w:rsidRPr="00672C0B">
        <w:rPr>
          <w:rFonts w:ascii="Arial" w:hAnsi="Arial" w:cs="Arial"/>
          <w:b/>
          <w:sz w:val="20"/>
          <w:szCs w:val="20"/>
        </w:rPr>
        <w:t xml:space="preserve">Non-public Personal Information: </w:t>
      </w:r>
      <w:r w:rsidRPr="00672C0B">
        <w:rPr>
          <w:rFonts w:ascii="Arial" w:hAnsi="Arial" w:cs="Arial"/>
          <w:sz w:val="20"/>
          <w:szCs w:val="20"/>
        </w:rPr>
        <w:t>Personally identifiable data such as information provided by a customer on a form or application, information about a customer’s transactions, or any other information about a customer which is otherwise unavailable to the general public. NPI includes first name or first initial and last name coupled with any of the following: Social Security Number, driver’s license number, state-issued ID number, credit card number, debit card number, or other financial account numbers</w:t>
      </w:r>
      <w:r w:rsidRPr="00672C0B">
        <w:rPr>
          <w:rFonts w:ascii="Arial" w:hAnsi="Arial" w:cs="Arial"/>
          <w:b/>
          <w:sz w:val="20"/>
          <w:szCs w:val="20"/>
        </w:rPr>
        <w:t>.</w:t>
      </w:r>
    </w:p>
    <w:p w14:paraId="3C833AAB" w14:textId="77777777" w:rsidR="00B3265E" w:rsidRPr="00672C0B" w:rsidRDefault="00B3265E" w:rsidP="00B3265E">
      <w:pPr>
        <w:rPr>
          <w:rFonts w:ascii="Arial" w:hAnsi="Arial" w:cs="Arial"/>
          <w:sz w:val="20"/>
          <w:szCs w:val="20"/>
        </w:rPr>
      </w:pPr>
      <w:r w:rsidRPr="00672C0B">
        <w:rPr>
          <w:rFonts w:ascii="Arial" w:hAnsi="Arial" w:cs="Arial"/>
          <w:b/>
          <w:sz w:val="20"/>
          <w:szCs w:val="20"/>
        </w:rPr>
        <w:t>Positive Pay or Reverse Positive Pay:</w:t>
      </w:r>
      <w:r w:rsidRPr="00672C0B">
        <w:rPr>
          <w:rFonts w:ascii="Arial" w:hAnsi="Arial" w:cs="Arial"/>
          <w:sz w:val="20"/>
          <w:szCs w:val="20"/>
        </w:rPr>
        <w:t xml:space="preserve"> Any system by which the authenticity of a check is determined before payment is made by the financial institution against which the check is written. </w:t>
      </w:r>
    </w:p>
    <w:p w14:paraId="116E8346" w14:textId="77777777" w:rsidR="00B3265E" w:rsidRPr="00672C0B" w:rsidRDefault="00B3265E" w:rsidP="00B3265E">
      <w:pPr>
        <w:rPr>
          <w:rFonts w:ascii="Arial" w:hAnsi="Arial" w:cs="Arial"/>
          <w:sz w:val="20"/>
          <w:szCs w:val="20"/>
        </w:rPr>
      </w:pPr>
      <w:r w:rsidRPr="00672C0B">
        <w:rPr>
          <w:rFonts w:ascii="Arial" w:hAnsi="Arial" w:cs="Arial"/>
          <w:b/>
          <w:sz w:val="20"/>
          <w:szCs w:val="20"/>
        </w:rPr>
        <w:lastRenderedPageBreak/>
        <w:t>Settlement:</w:t>
      </w:r>
      <w:r w:rsidRPr="00672C0B">
        <w:rPr>
          <w:rFonts w:ascii="Arial" w:hAnsi="Arial" w:cs="Arial"/>
          <w:sz w:val="20"/>
          <w:szCs w:val="20"/>
        </w:rPr>
        <w:t xml:space="preserve">  In some areas called a “closing.” The process of completing a real estate transaction in accordance with written instructions during which deeds, mortgages, leases and other required instruments are executed and/or delivered, an accounting between the parties is made, the funds are disbursed and the appropriate documents are recorded.</w:t>
      </w:r>
    </w:p>
    <w:p w14:paraId="57AEBD0A"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Trial Balance: </w:t>
      </w:r>
      <w:r w:rsidRPr="00672C0B">
        <w:rPr>
          <w:rFonts w:ascii="Arial" w:hAnsi="Arial" w:cs="Arial"/>
          <w:sz w:val="20"/>
          <w:szCs w:val="20"/>
        </w:rPr>
        <w:t>A list of all open individual escrow ledger record balances at the end of the reconciliation period.</w:t>
      </w:r>
    </w:p>
    <w:p w14:paraId="659713B4"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Three-Way Reconciliation: </w:t>
      </w:r>
      <w:r w:rsidRPr="00672C0B">
        <w:rPr>
          <w:rFonts w:ascii="Arial" w:hAnsi="Arial" w:cs="Arial"/>
          <w:sz w:val="20"/>
          <w:szCs w:val="20"/>
        </w:rPr>
        <w:t>A three-way reconciliation is a method for discovering shortages (intentional or otherwise), charges that must be reimbursed or any type of errors or omissions that must be corrected in relation to an Escrow Trust Account. This requires the escrow trial balance, the book balance and the reconciled bank balance to be compared. If all three parts do not agree, the difference shall be investigated and corrected.</w:t>
      </w:r>
    </w:p>
    <w:p w14:paraId="6FDBCFE2" w14:textId="77777777" w:rsidR="003669FF" w:rsidRDefault="003669FF" w:rsidP="00B3265E">
      <w:pPr>
        <w:rPr>
          <w:rFonts w:ascii="Arial" w:hAnsi="Arial" w:cs="Arial"/>
          <w:b/>
          <w:sz w:val="20"/>
          <w:szCs w:val="20"/>
          <w:u w:val="single"/>
        </w:rPr>
      </w:pPr>
    </w:p>
    <w:p w14:paraId="5EC2F5BB" w14:textId="77777777" w:rsidR="003669FF" w:rsidRDefault="003669FF" w:rsidP="00B3265E">
      <w:pPr>
        <w:rPr>
          <w:rFonts w:ascii="Arial" w:hAnsi="Arial" w:cs="Arial"/>
          <w:b/>
          <w:sz w:val="20"/>
          <w:szCs w:val="20"/>
          <w:u w:val="single"/>
        </w:rPr>
      </w:pPr>
    </w:p>
    <w:p w14:paraId="7859DEAC" w14:textId="77777777" w:rsidR="003669FF" w:rsidRDefault="003669FF" w:rsidP="00B3265E">
      <w:pPr>
        <w:rPr>
          <w:rFonts w:ascii="Arial" w:hAnsi="Arial" w:cs="Arial"/>
          <w:b/>
          <w:sz w:val="20"/>
          <w:szCs w:val="20"/>
          <w:u w:val="single"/>
        </w:rPr>
      </w:pPr>
    </w:p>
    <w:p w14:paraId="2AC06139" w14:textId="77777777" w:rsidR="003669FF" w:rsidRDefault="003669FF" w:rsidP="00B3265E">
      <w:pPr>
        <w:rPr>
          <w:rFonts w:ascii="Arial" w:hAnsi="Arial" w:cs="Arial"/>
          <w:b/>
          <w:sz w:val="20"/>
          <w:szCs w:val="20"/>
          <w:u w:val="single"/>
        </w:rPr>
      </w:pPr>
    </w:p>
    <w:p w14:paraId="315EA18C" w14:textId="77777777" w:rsidR="003669FF" w:rsidRDefault="003669FF" w:rsidP="00B3265E">
      <w:pPr>
        <w:rPr>
          <w:rFonts w:ascii="Arial" w:hAnsi="Arial" w:cs="Arial"/>
          <w:b/>
          <w:sz w:val="20"/>
          <w:szCs w:val="20"/>
          <w:u w:val="single"/>
        </w:rPr>
      </w:pPr>
    </w:p>
    <w:p w14:paraId="16684989" w14:textId="77777777" w:rsidR="003669FF" w:rsidRDefault="003669FF" w:rsidP="00B3265E">
      <w:pPr>
        <w:rPr>
          <w:rFonts w:ascii="Arial" w:hAnsi="Arial" w:cs="Arial"/>
          <w:b/>
          <w:sz w:val="20"/>
          <w:szCs w:val="20"/>
          <w:u w:val="single"/>
        </w:rPr>
      </w:pPr>
    </w:p>
    <w:p w14:paraId="39D9BFCC" w14:textId="77777777" w:rsidR="003669FF" w:rsidRDefault="003669FF" w:rsidP="00B3265E">
      <w:pPr>
        <w:rPr>
          <w:rFonts w:ascii="Arial" w:hAnsi="Arial" w:cs="Arial"/>
          <w:b/>
          <w:sz w:val="20"/>
          <w:szCs w:val="20"/>
          <w:u w:val="single"/>
        </w:rPr>
      </w:pPr>
    </w:p>
    <w:p w14:paraId="719FC355" w14:textId="77777777" w:rsidR="003669FF" w:rsidRDefault="003669FF" w:rsidP="00B3265E">
      <w:pPr>
        <w:rPr>
          <w:rFonts w:ascii="Arial" w:hAnsi="Arial" w:cs="Arial"/>
          <w:b/>
          <w:sz w:val="20"/>
          <w:szCs w:val="20"/>
          <w:u w:val="single"/>
        </w:rPr>
      </w:pPr>
    </w:p>
    <w:p w14:paraId="191585FF" w14:textId="77777777" w:rsidR="003669FF" w:rsidRDefault="003669FF" w:rsidP="00B3265E">
      <w:pPr>
        <w:rPr>
          <w:rFonts w:ascii="Arial" w:hAnsi="Arial" w:cs="Arial"/>
          <w:b/>
          <w:sz w:val="20"/>
          <w:szCs w:val="20"/>
          <w:u w:val="single"/>
        </w:rPr>
      </w:pPr>
    </w:p>
    <w:p w14:paraId="69C253B0" w14:textId="77777777" w:rsidR="003669FF" w:rsidRDefault="003669FF" w:rsidP="00B3265E">
      <w:pPr>
        <w:rPr>
          <w:rFonts w:ascii="Arial" w:hAnsi="Arial" w:cs="Arial"/>
          <w:b/>
          <w:sz w:val="20"/>
          <w:szCs w:val="20"/>
          <w:u w:val="single"/>
        </w:rPr>
      </w:pPr>
    </w:p>
    <w:p w14:paraId="5F116EC9" w14:textId="77777777" w:rsidR="003669FF" w:rsidRDefault="003669FF" w:rsidP="00B3265E">
      <w:pPr>
        <w:rPr>
          <w:rFonts w:ascii="Arial" w:hAnsi="Arial" w:cs="Arial"/>
          <w:b/>
          <w:sz w:val="20"/>
          <w:szCs w:val="20"/>
          <w:u w:val="single"/>
        </w:rPr>
      </w:pPr>
    </w:p>
    <w:p w14:paraId="3AD40BC8" w14:textId="77777777" w:rsidR="003669FF" w:rsidRDefault="003669FF" w:rsidP="00B3265E">
      <w:pPr>
        <w:rPr>
          <w:rFonts w:ascii="Arial" w:hAnsi="Arial" w:cs="Arial"/>
          <w:b/>
          <w:sz w:val="20"/>
          <w:szCs w:val="20"/>
          <w:u w:val="single"/>
        </w:rPr>
      </w:pPr>
    </w:p>
    <w:p w14:paraId="73D4CDAC" w14:textId="77777777" w:rsidR="003669FF" w:rsidRDefault="003669FF" w:rsidP="00B3265E">
      <w:pPr>
        <w:rPr>
          <w:rFonts w:ascii="Arial" w:hAnsi="Arial" w:cs="Arial"/>
          <w:b/>
          <w:sz w:val="20"/>
          <w:szCs w:val="20"/>
          <w:u w:val="single"/>
        </w:rPr>
      </w:pPr>
    </w:p>
    <w:p w14:paraId="45E32D67" w14:textId="77777777" w:rsidR="00FB51ED" w:rsidRDefault="00FB51ED" w:rsidP="00B3265E">
      <w:pPr>
        <w:rPr>
          <w:rFonts w:ascii="Arial" w:hAnsi="Arial" w:cs="Arial"/>
          <w:b/>
          <w:sz w:val="20"/>
          <w:szCs w:val="20"/>
          <w:u w:val="single"/>
        </w:rPr>
      </w:pPr>
    </w:p>
    <w:p w14:paraId="3751B43E" w14:textId="77777777" w:rsidR="003669FF" w:rsidRDefault="003669FF" w:rsidP="00B3265E">
      <w:pPr>
        <w:rPr>
          <w:rFonts w:ascii="Arial" w:hAnsi="Arial" w:cs="Arial"/>
          <w:b/>
          <w:sz w:val="20"/>
          <w:szCs w:val="20"/>
          <w:u w:val="single"/>
        </w:rPr>
      </w:pPr>
    </w:p>
    <w:p w14:paraId="547C709C" w14:textId="77777777" w:rsidR="003669FF" w:rsidRDefault="003669FF" w:rsidP="00B3265E">
      <w:pPr>
        <w:rPr>
          <w:rFonts w:ascii="Arial" w:hAnsi="Arial" w:cs="Arial"/>
          <w:b/>
          <w:sz w:val="20"/>
          <w:szCs w:val="20"/>
          <w:u w:val="single"/>
        </w:rPr>
      </w:pPr>
    </w:p>
    <w:p w14:paraId="44F8F274" w14:textId="77777777" w:rsidR="00FB51ED" w:rsidRDefault="00FB51ED" w:rsidP="00B3265E">
      <w:pPr>
        <w:rPr>
          <w:rFonts w:ascii="Arial" w:hAnsi="Arial" w:cs="Arial"/>
          <w:b/>
          <w:sz w:val="20"/>
          <w:szCs w:val="20"/>
          <w:u w:val="single"/>
        </w:rPr>
      </w:pPr>
    </w:p>
    <w:p w14:paraId="1D7A278E" w14:textId="77777777" w:rsidR="00FB51ED" w:rsidRDefault="00FB51ED" w:rsidP="00B3265E">
      <w:pPr>
        <w:rPr>
          <w:rFonts w:ascii="Arial" w:hAnsi="Arial" w:cs="Arial"/>
          <w:b/>
          <w:sz w:val="20"/>
          <w:szCs w:val="20"/>
          <w:u w:val="single"/>
        </w:rPr>
      </w:pPr>
    </w:p>
    <w:p w14:paraId="724C3D23" w14:textId="77777777" w:rsidR="00FB51ED" w:rsidRDefault="00FB51ED" w:rsidP="00B3265E">
      <w:pPr>
        <w:rPr>
          <w:rFonts w:ascii="Arial" w:hAnsi="Arial" w:cs="Arial"/>
          <w:b/>
          <w:sz w:val="20"/>
          <w:szCs w:val="20"/>
          <w:u w:val="single"/>
        </w:rPr>
      </w:pPr>
    </w:p>
    <w:p w14:paraId="71D25DA6" w14:textId="77777777" w:rsidR="003669FF" w:rsidRDefault="003669FF" w:rsidP="00B3265E">
      <w:pPr>
        <w:rPr>
          <w:rFonts w:ascii="Arial" w:hAnsi="Arial" w:cs="Arial"/>
          <w:b/>
          <w:sz w:val="20"/>
          <w:szCs w:val="20"/>
          <w:u w:val="single"/>
        </w:rPr>
      </w:pPr>
    </w:p>
    <w:p w14:paraId="2E5FA5E9" w14:textId="77777777" w:rsidR="00B3265E" w:rsidRPr="00672C0B" w:rsidRDefault="00B3265E" w:rsidP="00B3265E">
      <w:pPr>
        <w:rPr>
          <w:rFonts w:ascii="Arial" w:hAnsi="Arial" w:cs="Arial"/>
          <w:b/>
          <w:sz w:val="20"/>
          <w:szCs w:val="20"/>
          <w:u w:val="single"/>
        </w:rPr>
      </w:pPr>
      <w:r w:rsidRPr="00672C0B">
        <w:rPr>
          <w:rFonts w:ascii="Arial" w:hAnsi="Arial" w:cs="Arial"/>
          <w:b/>
          <w:sz w:val="20"/>
          <w:szCs w:val="20"/>
          <w:u w:val="single"/>
        </w:rPr>
        <w:lastRenderedPageBreak/>
        <w:t>Best Practices</w:t>
      </w:r>
    </w:p>
    <w:p w14:paraId="266CB82F" w14:textId="77777777" w:rsidR="00B3265E" w:rsidRPr="00672C0B" w:rsidRDefault="00B3265E" w:rsidP="00B3265E">
      <w:pPr>
        <w:pStyle w:val="ListParagraph"/>
        <w:numPr>
          <w:ilvl w:val="0"/>
          <w:numId w:val="8"/>
        </w:numPr>
        <w:rPr>
          <w:rFonts w:ascii="Arial" w:hAnsi="Arial" w:cs="Arial"/>
          <w:b/>
          <w:sz w:val="20"/>
          <w:szCs w:val="20"/>
        </w:rPr>
      </w:pPr>
      <w:r w:rsidRPr="00672C0B">
        <w:rPr>
          <w:rFonts w:ascii="Arial" w:hAnsi="Arial" w:cs="Arial"/>
          <w:b/>
          <w:sz w:val="20"/>
          <w:szCs w:val="20"/>
        </w:rPr>
        <w:t xml:space="preserve">Best Practice:  Establish and maintain current </w:t>
      </w:r>
      <w:r>
        <w:rPr>
          <w:rFonts w:ascii="Arial" w:hAnsi="Arial" w:cs="Arial"/>
          <w:b/>
          <w:sz w:val="20"/>
          <w:szCs w:val="20"/>
        </w:rPr>
        <w:t>L</w:t>
      </w:r>
      <w:r w:rsidRPr="00672C0B">
        <w:rPr>
          <w:rFonts w:ascii="Arial" w:hAnsi="Arial" w:cs="Arial"/>
          <w:b/>
          <w:sz w:val="20"/>
          <w:szCs w:val="20"/>
        </w:rPr>
        <w:t>icense(s) as required to conduct the business of title insurance and settlement services.</w:t>
      </w:r>
    </w:p>
    <w:p w14:paraId="33E2A310"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Maintaining state mandated insurance licenses and corporate registrations (as applicable)</w:t>
      </w:r>
      <w:r>
        <w:rPr>
          <w:rFonts w:ascii="Arial" w:hAnsi="Arial" w:cs="Arial"/>
          <w:sz w:val="20"/>
          <w:szCs w:val="20"/>
        </w:rPr>
        <w:t xml:space="preserve"> helps ensure</w:t>
      </w:r>
      <w:r w:rsidRPr="00672C0B">
        <w:rPr>
          <w:rFonts w:ascii="Arial" w:hAnsi="Arial" w:cs="Arial"/>
          <w:sz w:val="20"/>
          <w:szCs w:val="20"/>
        </w:rPr>
        <w:t xml:space="preserve"> the Company remains in good standing with the state.</w:t>
      </w:r>
    </w:p>
    <w:p w14:paraId="18967B4D" w14:textId="77777777" w:rsidR="00B3265E" w:rsidRPr="00672C0B" w:rsidRDefault="00B3265E" w:rsidP="00B3265E">
      <w:pPr>
        <w:rPr>
          <w:rFonts w:ascii="Arial" w:hAnsi="Arial" w:cs="Arial"/>
          <w:sz w:val="20"/>
          <w:szCs w:val="20"/>
        </w:rPr>
      </w:pPr>
      <w:r w:rsidRPr="00672C0B">
        <w:rPr>
          <w:rFonts w:ascii="Arial" w:hAnsi="Arial" w:cs="Arial"/>
          <w:sz w:val="20"/>
          <w:szCs w:val="20"/>
        </w:rPr>
        <w:t>Procedures to meet this best practice:</w:t>
      </w:r>
    </w:p>
    <w:p w14:paraId="6004EE52" w14:textId="77777777" w:rsidR="00B3265E" w:rsidRPr="00672C0B" w:rsidRDefault="00B3265E" w:rsidP="00B3265E">
      <w:pPr>
        <w:pStyle w:val="ListParagraph"/>
        <w:numPr>
          <w:ilvl w:val="0"/>
          <w:numId w:val="7"/>
        </w:numPr>
        <w:rPr>
          <w:rFonts w:ascii="Arial" w:hAnsi="Arial" w:cs="Arial"/>
          <w:sz w:val="20"/>
          <w:szCs w:val="20"/>
        </w:rPr>
      </w:pPr>
      <w:r w:rsidRPr="00672C0B">
        <w:rPr>
          <w:rFonts w:ascii="Arial" w:hAnsi="Arial" w:cs="Arial"/>
          <w:sz w:val="20"/>
          <w:szCs w:val="20"/>
        </w:rPr>
        <w:t>Establish and maintain applicable business</w:t>
      </w:r>
      <w:r>
        <w:rPr>
          <w:rFonts w:ascii="Arial" w:hAnsi="Arial" w:cs="Arial"/>
          <w:sz w:val="20"/>
          <w:szCs w:val="20"/>
        </w:rPr>
        <w:t xml:space="preserve"> L</w:t>
      </w:r>
      <w:r w:rsidRPr="00672C0B">
        <w:rPr>
          <w:rFonts w:ascii="Arial" w:hAnsi="Arial" w:cs="Arial"/>
          <w:sz w:val="20"/>
          <w:szCs w:val="20"/>
        </w:rPr>
        <w:t>icense(s).</w:t>
      </w:r>
    </w:p>
    <w:p w14:paraId="3837A638" w14:textId="77777777" w:rsidR="00B3265E" w:rsidRPr="00672C0B" w:rsidRDefault="00B3265E" w:rsidP="00B3265E">
      <w:pPr>
        <w:pStyle w:val="ListParagraph"/>
        <w:numPr>
          <w:ilvl w:val="0"/>
          <w:numId w:val="7"/>
        </w:numPr>
        <w:rPr>
          <w:rFonts w:ascii="Arial" w:hAnsi="Arial" w:cs="Arial"/>
          <w:sz w:val="20"/>
          <w:szCs w:val="20"/>
        </w:rPr>
      </w:pPr>
      <w:r w:rsidRPr="00672C0B">
        <w:rPr>
          <w:rFonts w:ascii="Arial" w:hAnsi="Arial" w:cs="Arial"/>
          <w:sz w:val="20"/>
          <w:szCs w:val="20"/>
        </w:rPr>
        <w:t xml:space="preserve">Establish and maintain compliance with </w:t>
      </w:r>
      <w:r>
        <w:rPr>
          <w:rFonts w:ascii="Arial" w:hAnsi="Arial" w:cs="Arial"/>
          <w:sz w:val="20"/>
          <w:szCs w:val="20"/>
        </w:rPr>
        <w:t>L</w:t>
      </w:r>
      <w:r w:rsidRPr="00672C0B">
        <w:rPr>
          <w:rFonts w:ascii="Arial" w:hAnsi="Arial" w:cs="Arial"/>
          <w:sz w:val="20"/>
          <w:szCs w:val="20"/>
        </w:rPr>
        <w:t>icensing, registration, or similar requirements with the applicable state regulatory department or agency.</w:t>
      </w:r>
    </w:p>
    <w:p w14:paraId="49F0716F" w14:textId="77777777" w:rsidR="00B3265E" w:rsidRDefault="00B3265E" w:rsidP="00B3265E">
      <w:pPr>
        <w:pStyle w:val="ListParagraph"/>
        <w:numPr>
          <w:ilvl w:val="0"/>
          <w:numId w:val="7"/>
        </w:numPr>
        <w:rPr>
          <w:rFonts w:ascii="Arial" w:hAnsi="Arial" w:cs="Arial"/>
          <w:sz w:val="20"/>
          <w:szCs w:val="20"/>
        </w:rPr>
      </w:pPr>
      <w:r w:rsidRPr="00672C0B">
        <w:rPr>
          <w:rFonts w:ascii="Arial" w:hAnsi="Arial" w:cs="Arial"/>
          <w:sz w:val="20"/>
          <w:szCs w:val="20"/>
        </w:rPr>
        <w:t>Establish and maintain appropriate compliance with ALTA’s Policy Forms Licensing requirement.</w:t>
      </w:r>
    </w:p>
    <w:p w14:paraId="283C86EB" w14:textId="77777777" w:rsidR="003669FF" w:rsidRPr="003669FF" w:rsidRDefault="003669FF" w:rsidP="003669FF">
      <w:pPr>
        <w:rPr>
          <w:rFonts w:ascii="Arial" w:hAnsi="Arial" w:cs="Arial"/>
          <w:sz w:val="20"/>
          <w:szCs w:val="20"/>
        </w:rPr>
      </w:pPr>
      <w:r>
        <w:rPr>
          <w:rFonts w:ascii="Arial" w:hAnsi="Arial" w:cs="Arial"/>
          <w:noProof/>
          <w:sz w:val="20"/>
          <w:szCs w:val="20"/>
        </w:rPr>
        <mc:AlternateContent>
          <mc:Choice Requires="wps">
            <w:drawing>
              <wp:inline distT="0" distB="0" distL="0" distR="0" wp14:anchorId="17869C27" wp14:editId="222130AD">
                <wp:extent cx="5833872" cy="2028825"/>
                <wp:effectExtent l="0" t="0" r="14605" b="28575"/>
                <wp:docPr id="1" name="Text Box 1"/>
                <wp:cNvGraphicFramePr/>
                <a:graphic xmlns:a="http://schemas.openxmlformats.org/drawingml/2006/main">
                  <a:graphicData uri="http://schemas.microsoft.com/office/word/2010/wordprocessingShape">
                    <wps:wsp>
                      <wps:cNvSpPr txBox="1"/>
                      <wps:spPr>
                        <a:xfrm>
                          <a:off x="0" y="0"/>
                          <a:ext cx="5833872" cy="2028825"/>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BC7B2E" w14:textId="3D594B76" w:rsidR="003669FF" w:rsidRPr="00646655" w:rsidRDefault="00F84BAE" w:rsidP="00646655">
                            <w:pPr>
                              <w:spacing w:after="0"/>
                              <w:rPr>
                                <w:b/>
                              </w:rPr>
                            </w:pPr>
                            <w:r>
                              <w:rPr>
                                <w:b/>
                              </w:rPr>
                              <w:t>The Title Exchange</w:t>
                            </w:r>
                            <w:r w:rsidR="00687A94" w:rsidRPr="00646655">
                              <w:rPr>
                                <w:b/>
                              </w:rPr>
                              <w:t xml:space="preserve"> </w:t>
                            </w:r>
                            <w:r w:rsidR="003C66AA">
                              <w:rPr>
                                <w:b/>
                              </w:rPr>
                              <w:t xml:space="preserve">has adopted and </w:t>
                            </w:r>
                            <w:r w:rsidR="00687A94" w:rsidRPr="00646655">
                              <w:rPr>
                                <w:b/>
                              </w:rPr>
                              <w:t>maintains current licenses as required to conduct the business of title insurance and settlement services.</w:t>
                            </w:r>
                          </w:p>
                          <w:p w14:paraId="4BCE446A" w14:textId="6E1740CB" w:rsidR="00687A94" w:rsidRPr="00646655" w:rsidRDefault="00687A94" w:rsidP="00687A94">
                            <w:pPr>
                              <w:rPr>
                                <w:b/>
                                <w:i/>
                              </w:rPr>
                            </w:pPr>
                            <w:r w:rsidRPr="00646655">
                              <w:rPr>
                                <w:b/>
                                <w:i/>
                              </w:rPr>
                              <w:t xml:space="preserve">Evidence of </w:t>
                            </w:r>
                            <w:r w:rsidR="00F84BAE">
                              <w:rPr>
                                <w:b/>
                                <w:i/>
                              </w:rPr>
                              <w:t>The Title Exchange’s</w:t>
                            </w:r>
                            <w:r w:rsidRPr="00646655">
                              <w:rPr>
                                <w:b/>
                                <w:i/>
                              </w:rPr>
                              <w:t xml:space="preserve"> compliance with Best Practice 1 can be found in Appendix 1.</w:t>
                            </w:r>
                          </w:p>
                          <w:p w14:paraId="432372E5" w14:textId="77777777" w:rsidR="00687A94" w:rsidRDefault="00687A94" w:rsidP="00646655">
                            <w:pPr>
                              <w:spacing w:after="0"/>
                              <w:ind w:left="720"/>
                              <w:rPr>
                                <w:b/>
                              </w:rPr>
                            </w:pPr>
                            <w:r w:rsidRPr="00687A94">
                              <w:rPr>
                                <w:b/>
                              </w:rPr>
                              <w:t>Sections</w:t>
                            </w:r>
                            <w:r>
                              <w:rPr>
                                <w:b/>
                              </w:rPr>
                              <w:t>:</w:t>
                            </w:r>
                          </w:p>
                          <w:p w14:paraId="41FB939B" w14:textId="0027D737" w:rsidR="00687A94" w:rsidRPr="00687A94" w:rsidRDefault="00420C8E" w:rsidP="00687A94">
                            <w:pPr>
                              <w:pStyle w:val="ListParagraph"/>
                              <w:numPr>
                                <w:ilvl w:val="0"/>
                                <w:numId w:val="11"/>
                              </w:numPr>
                              <w:rPr>
                                <w:b/>
                              </w:rPr>
                            </w:pPr>
                            <w:r>
                              <w:t>The Title Exchange</w:t>
                            </w:r>
                            <w:r w:rsidR="00687A94">
                              <w:t xml:space="preserve"> maintains licenses to do business in Wisconsi</w:t>
                            </w:r>
                            <w:r>
                              <w:t>n</w:t>
                            </w:r>
                            <w:r w:rsidR="00687A94">
                              <w:t>.</w:t>
                            </w:r>
                          </w:p>
                          <w:p w14:paraId="6B5A8808" w14:textId="77777777" w:rsidR="00687A94" w:rsidRPr="00113303" w:rsidRDefault="00DE4707" w:rsidP="00687A94">
                            <w:pPr>
                              <w:pStyle w:val="ListParagraph"/>
                              <w:numPr>
                                <w:ilvl w:val="0"/>
                                <w:numId w:val="11"/>
                              </w:numPr>
                              <w:rPr>
                                <w:b/>
                              </w:rPr>
                            </w:pPr>
                            <w:r>
                              <w:t>The company</w:t>
                            </w:r>
                            <w:r w:rsidR="00113303">
                              <w:t xml:space="preserve"> maintains compliance with state licensing, registration and other state regulatory requirements.</w:t>
                            </w:r>
                          </w:p>
                          <w:p w14:paraId="0B219C3C" w14:textId="77777777" w:rsidR="00113303" w:rsidRPr="00687A94" w:rsidRDefault="00DE4707" w:rsidP="00687A94">
                            <w:pPr>
                              <w:pStyle w:val="ListParagraph"/>
                              <w:numPr>
                                <w:ilvl w:val="0"/>
                                <w:numId w:val="11"/>
                              </w:numPr>
                              <w:rPr>
                                <w:b/>
                              </w:rPr>
                            </w:pPr>
                            <w:r>
                              <w:t>The company</w:t>
                            </w:r>
                            <w:r w:rsidR="00113303">
                              <w:t xml:space="preserve"> maintains a license to use ALTA’s policy forms.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7869C27" id="Text Box 1" o:spid="_x0000_s1029" type="#_x0000_t202" style="width:459.35pt;height:15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" fillcolor="#f2f2f2 [3052]" strokeweight=".5pt">
                <v:textbox>
                  <w:txbxContent>
                    <w:p w14:paraId="1ABC7B2E" w14:textId="3D594B76" w:rsidR="003669FF" w:rsidRPr="00646655" w:rsidRDefault="00F84BAE" w:rsidP="00646655">
                      <w:pPr>
                        <w:spacing w:after="0"/>
                        <w:rPr>
                          <w:b/>
                        </w:rPr>
                      </w:pPr>
                      <w:r>
                        <w:rPr>
                          <w:b/>
                        </w:rPr>
                        <w:t>The Title Exchange</w:t>
                      </w:r>
                      <w:r w:rsidR="00687A94" w:rsidRPr="00646655">
                        <w:rPr>
                          <w:b/>
                        </w:rPr>
                        <w:t xml:space="preserve"> </w:t>
                      </w:r>
                      <w:r w:rsidR="003C66AA">
                        <w:rPr>
                          <w:b/>
                        </w:rPr>
                        <w:t xml:space="preserve">has adopted and </w:t>
                      </w:r>
                      <w:r w:rsidR="00687A94" w:rsidRPr="00646655">
                        <w:rPr>
                          <w:b/>
                        </w:rPr>
                        <w:t>maintains current licenses as required to conduct the business of title insurance and settlement services.</w:t>
                      </w:r>
                    </w:p>
                    <w:p w14:paraId="4BCE446A" w14:textId="6E1740CB" w:rsidR="00687A94" w:rsidRPr="00646655" w:rsidRDefault="00687A94" w:rsidP="00687A94">
                      <w:pPr>
                        <w:rPr>
                          <w:b/>
                          <w:i/>
                        </w:rPr>
                      </w:pPr>
                      <w:r w:rsidRPr="00646655">
                        <w:rPr>
                          <w:b/>
                          <w:i/>
                        </w:rPr>
                        <w:t xml:space="preserve">Evidence of </w:t>
                      </w:r>
                      <w:r w:rsidR="00F84BAE">
                        <w:rPr>
                          <w:b/>
                          <w:i/>
                        </w:rPr>
                        <w:t>The Title Exchange’s</w:t>
                      </w:r>
                      <w:r w:rsidRPr="00646655">
                        <w:rPr>
                          <w:b/>
                          <w:i/>
                        </w:rPr>
                        <w:t xml:space="preserve"> compliance with Best Practice 1 can be found in Appendix 1.</w:t>
                      </w:r>
                    </w:p>
                    <w:p w14:paraId="432372E5" w14:textId="77777777" w:rsidR="00687A94" w:rsidRDefault="00687A94" w:rsidP="00646655">
                      <w:pPr>
                        <w:spacing w:after="0"/>
                        <w:ind w:left="720"/>
                        <w:rPr>
                          <w:b/>
                        </w:rPr>
                      </w:pPr>
                      <w:r w:rsidRPr="00687A94">
                        <w:rPr>
                          <w:b/>
                        </w:rPr>
                        <w:t>Sections</w:t>
                      </w:r>
                      <w:r>
                        <w:rPr>
                          <w:b/>
                        </w:rPr>
                        <w:t>:</w:t>
                      </w:r>
                    </w:p>
                    <w:p w14:paraId="41FB939B" w14:textId="0027D737" w:rsidR="00687A94" w:rsidRPr="00687A94" w:rsidRDefault="00420C8E" w:rsidP="00687A94">
                      <w:pPr>
                        <w:pStyle w:val="ListParagraph"/>
                        <w:numPr>
                          <w:ilvl w:val="0"/>
                          <w:numId w:val="11"/>
                        </w:numPr>
                        <w:rPr>
                          <w:b/>
                        </w:rPr>
                      </w:pPr>
                      <w:r>
                        <w:t>The Title Exchange</w:t>
                      </w:r>
                      <w:r w:rsidR="00687A94">
                        <w:t xml:space="preserve"> maintains licenses to do business in Wisconsi</w:t>
                      </w:r>
                      <w:r>
                        <w:t>n</w:t>
                      </w:r>
                      <w:r w:rsidR="00687A94">
                        <w:t>.</w:t>
                      </w:r>
                    </w:p>
                    <w:p w14:paraId="6B5A8808" w14:textId="77777777" w:rsidR="00687A94" w:rsidRPr="00113303" w:rsidRDefault="00DE4707" w:rsidP="00687A94">
                      <w:pPr>
                        <w:pStyle w:val="ListParagraph"/>
                        <w:numPr>
                          <w:ilvl w:val="0"/>
                          <w:numId w:val="11"/>
                        </w:numPr>
                        <w:rPr>
                          <w:b/>
                        </w:rPr>
                      </w:pPr>
                      <w:r>
                        <w:t>The company</w:t>
                      </w:r>
                      <w:r w:rsidR="00113303">
                        <w:t xml:space="preserve"> maintains compliance with state licensing, registration and other state regulatory requirements.</w:t>
                      </w:r>
                    </w:p>
                    <w:p w14:paraId="0B219C3C" w14:textId="77777777" w:rsidR="00113303" w:rsidRPr="00687A94" w:rsidRDefault="00DE4707" w:rsidP="00687A94">
                      <w:pPr>
                        <w:pStyle w:val="ListParagraph"/>
                        <w:numPr>
                          <w:ilvl w:val="0"/>
                          <w:numId w:val="11"/>
                        </w:numPr>
                        <w:rPr>
                          <w:b/>
                        </w:rPr>
                      </w:pPr>
                      <w:r>
                        <w:t>The company</w:t>
                      </w:r>
                      <w:r w:rsidR="00113303">
                        <w:t xml:space="preserve"> maintains a license to use ALTA’s policy forms.</w:t>
                      </w:r>
                    </w:p>
                  </w:txbxContent>
                </v:textbox>
                <w10:anchorlock/>
              </v:shape>
            </w:pict>
          </mc:Fallback>
        </mc:AlternateContent>
      </w:r>
    </w:p>
    <w:p w14:paraId="3510A5CF" w14:textId="77777777" w:rsidR="00B3265E" w:rsidRPr="00672C0B" w:rsidRDefault="00B3265E" w:rsidP="00B3265E">
      <w:pPr>
        <w:pStyle w:val="ListParagraph"/>
        <w:rPr>
          <w:rFonts w:ascii="Arial" w:hAnsi="Arial" w:cs="Arial"/>
          <w:sz w:val="20"/>
          <w:szCs w:val="20"/>
        </w:rPr>
      </w:pPr>
    </w:p>
    <w:p w14:paraId="5AB5D821" w14:textId="77777777" w:rsidR="00B3265E" w:rsidRPr="00672C0B" w:rsidRDefault="00B3265E" w:rsidP="00B3265E">
      <w:pPr>
        <w:pStyle w:val="ListParagraph"/>
        <w:numPr>
          <w:ilvl w:val="0"/>
          <w:numId w:val="8"/>
        </w:numPr>
        <w:rPr>
          <w:rFonts w:ascii="Arial" w:hAnsi="Arial" w:cs="Arial"/>
          <w:sz w:val="20"/>
          <w:szCs w:val="20"/>
        </w:rPr>
      </w:pPr>
      <w:r w:rsidRPr="00672C0B">
        <w:rPr>
          <w:rFonts w:ascii="Arial" w:hAnsi="Arial" w:cs="Arial"/>
          <w:b/>
          <w:sz w:val="20"/>
          <w:szCs w:val="20"/>
        </w:rPr>
        <w:t>Best Practice</w:t>
      </w:r>
      <w:r w:rsidRPr="00672C0B">
        <w:rPr>
          <w:rFonts w:ascii="Arial" w:hAnsi="Arial" w:cs="Arial"/>
          <w:sz w:val="20"/>
          <w:szCs w:val="20"/>
        </w:rPr>
        <w:t xml:space="preserve">: </w:t>
      </w:r>
      <w:r w:rsidRPr="00672C0B">
        <w:rPr>
          <w:rFonts w:ascii="Arial" w:hAnsi="Arial" w:cs="Arial"/>
          <w:b/>
          <w:sz w:val="20"/>
          <w:szCs w:val="20"/>
        </w:rPr>
        <w:t>Adopt and maintain appropriate written procedures and controls for Escrow Trust Accounts allowing for electronic verification of reconciliation.</w:t>
      </w:r>
    </w:p>
    <w:p w14:paraId="0D315357" w14:textId="77777777" w:rsidR="00B3265E" w:rsidRPr="00672C0B" w:rsidRDefault="00B3265E" w:rsidP="00B3265E">
      <w:pPr>
        <w:rPr>
          <w:rFonts w:ascii="Arial" w:hAnsi="Arial" w:cs="Arial"/>
          <w:sz w:val="20"/>
          <w:szCs w:val="20"/>
        </w:rPr>
      </w:pPr>
      <w:r w:rsidRPr="00672C0B">
        <w:rPr>
          <w:rFonts w:ascii="Arial" w:hAnsi="Arial" w:cs="Arial"/>
          <w:b/>
          <w:sz w:val="20"/>
          <w:szCs w:val="20"/>
        </w:rPr>
        <w:t>Purpose</w:t>
      </w:r>
      <w:r w:rsidRPr="00672C0B">
        <w:rPr>
          <w:rFonts w:ascii="Arial" w:hAnsi="Arial" w:cs="Arial"/>
          <w:sz w:val="20"/>
          <w:szCs w:val="20"/>
        </w:rPr>
        <w:t xml:space="preserve">: Appropriate and effective escrow controls and staff training help title and settlement companies meet client and legal requirements for the safeguarding of client funds. These procedures </w:t>
      </w:r>
      <w:r>
        <w:rPr>
          <w:rFonts w:ascii="Arial" w:hAnsi="Arial" w:cs="Arial"/>
          <w:sz w:val="20"/>
          <w:szCs w:val="20"/>
        </w:rPr>
        <w:t xml:space="preserve">help ensure </w:t>
      </w:r>
      <w:r w:rsidRPr="00672C0B">
        <w:rPr>
          <w:rFonts w:ascii="Arial" w:hAnsi="Arial" w:cs="Arial"/>
          <w:sz w:val="20"/>
          <w:szCs w:val="20"/>
        </w:rPr>
        <w:t>accuracy and minimize the exposure to loss of client funds. Settlement companies may engage outside contractors to conduct segregation of trust accounting duties.</w:t>
      </w:r>
    </w:p>
    <w:p w14:paraId="3856F2EB" w14:textId="77777777" w:rsidR="00B3265E" w:rsidRPr="00672C0B" w:rsidRDefault="00B3265E" w:rsidP="00B3265E">
      <w:pPr>
        <w:rPr>
          <w:rFonts w:ascii="Arial" w:hAnsi="Arial" w:cs="Arial"/>
          <w:sz w:val="20"/>
          <w:szCs w:val="20"/>
        </w:rPr>
      </w:pPr>
      <w:r w:rsidRPr="00672C0B">
        <w:rPr>
          <w:rFonts w:ascii="Arial" w:hAnsi="Arial" w:cs="Arial"/>
          <w:sz w:val="20"/>
          <w:szCs w:val="20"/>
        </w:rPr>
        <w:t>Procedures to meet this best practice:</w:t>
      </w:r>
    </w:p>
    <w:p w14:paraId="7AB1F1B1"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 xml:space="preserve"> Escrow funds and operating accounts are separately maintained.</w:t>
      </w:r>
    </w:p>
    <w:p w14:paraId="179208B7"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Escrow funds or other funds the Company maintains under a fiduciary duty to another are not commingled with the Company’s operating account or an employee or manager’s personal account.</w:t>
      </w:r>
    </w:p>
    <w:p w14:paraId="5865203B"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Escrow Trust Accounts are prepared with Trial Balances.</w:t>
      </w:r>
    </w:p>
    <w:p w14:paraId="3A9269C6"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On at least a monthly basis, Escrow Trust Accounts are prepared with Trial Balances (“Three-Way Reconciliation”), listing all open escrow balances.</w:t>
      </w:r>
    </w:p>
    <w:p w14:paraId="1DF0B1D0"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Escrow Trust Accounts are reconciled.</w:t>
      </w:r>
    </w:p>
    <w:p w14:paraId="35E24D15"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On at least a daily basis, reconciliation of the receipts and disbursements of the Escrow Trust Account is performed</w:t>
      </w:r>
    </w:p>
    <w:p w14:paraId="45B3F446"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lastRenderedPageBreak/>
        <w:t>On at least a monthly basis, a Three-Way Reconciliation is performed reconciling the bank statement, check book and Trial Balances.</w:t>
      </w:r>
    </w:p>
    <w:p w14:paraId="23AEEC83"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 xml:space="preserve">Segregation of duties is in place to </w:t>
      </w:r>
      <w:r>
        <w:rPr>
          <w:rFonts w:ascii="Arial" w:hAnsi="Arial" w:cs="Arial"/>
          <w:sz w:val="20"/>
          <w:szCs w:val="20"/>
        </w:rPr>
        <w:t xml:space="preserve">help </w:t>
      </w:r>
      <w:r w:rsidRPr="00672C0B">
        <w:rPr>
          <w:rFonts w:ascii="Arial" w:hAnsi="Arial" w:cs="Arial"/>
          <w:sz w:val="20"/>
          <w:szCs w:val="20"/>
        </w:rPr>
        <w:t>ensure the reliability of the reconciliation and reconciliations are conducted by someone other than those with signing authority.</w:t>
      </w:r>
    </w:p>
    <w:p w14:paraId="08B41138"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 xml:space="preserve">Results of the reconciliation are reviewed by management and are accessible electronically by the </w:t>
      </w:r>
      <w:r>
        <w:rPr>
          <w:rFonts w:ascii="Arial" w:hAnsi="Arial" w:cs="Arial"/>
          <w:sz w:val="20"/>
          <w:szCs w:val="20"/>
        </w:rPr>
        <w:t>Company</w:t>
      </w:r>
      <w:r w:rsidRPr="00672C0B">
        <w:rPr>
          <w:rFonts w:ascii="Arial" w:hAnsi="Arial" w:cs="Arial"/>
          <w:sz w:val="20"/>
          <w:szCs w:val="20"/>
        </w:rPr>
        <w:t>’s contracted underwriter(s).</w:t>
      </w:r>
    </w:p>
    <w:p w14:paraId="7F054A96"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Escrow Trust Accounts are properly identified.</w:t>
      </w:r>
    </w:p>
    <w:p w14:paraId="090B5402"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Accounts are identified as “escrow” or “trust” accounts. Appropriate identification appears on all account-related documentation including bank statements, bank agreements, disbursement checks and deposit tickets.</w:t>
      </w:r>
    </w:p>
    <w:p w14:paraId="12A2796A"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Outstanding file balances are documented.</w:t>
      </w:r>
    </w:p>
    <w:p w14:paraId="7E18A32F"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Transactions are conducted by authorized employees only.</w:t>
      </w:r>
    </w:p>
    <w:p w14:paraId="12392D73"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Only those employees whose authority has been defined to authorize bank transactions may do so. Appropriate authorization levels are set by the Company and reviewed for updates annually. Former employees are immediately deleted as listed signatories on all bank accounts.</w:t>
      </w:r>
    </w:p>
    <w:p w14:paraId="3691537E"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Unless directed by the beneficial owner, Escrow Trust Accounts are maintained in Federally Insured Financial Institutions.</w:t>
      </w:r>
    </w:p>
    <w:p w14:paraId="003CE3E4"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Utilize Positive Pay or Reverse Positive Pay, Automated Clearing House blocks and international wire blocks, if available.</w:t>
      </w:r>
    </w:p>
    <w:p w14:paraId="3AFF5082"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Background Checks are completed in the hiring process.  At least every three years, obtain Background Checks going back five years for all employees who have access to customer funds.</w:t>
      </w:r>
    </w:p>
    <w:p w14:paraId="6FC06B49" w14:textId="77777777" w:rsidR="003669FF" w:rsidRDefault="00B3265E" w:rsidP="003669FF">
      <w:pPr>
        <w:pStyle w:val="ListParagraph"/>
        <w:numPr>
          <w:ilvl w:val="0"/>
          <w:numId w:val="1"/>
        </w:numPr>
        <w:rPr>
          <w:rFonts w:ascii="Arial" w:hAnsi="Arial" w:cs="Arial"/>
          <w:sz w:val="20"/>
          <w:szCs w:val="20"/>
        </w:rPr>
      </w:pPr>
      <w:r w:rsidRPr="00672C0B">
        <w:rPr>
          <w:rFonts w:ascii="Arial" w:hAnsi="Arial" w:cs="Arial"/>
          <w:sz w:val="20"/>
          <w:szCs w:val="20"/>
        </w:rPr>
        <w:t>Ongoing training is conducted for employees in management of escrow funds and escrow accounting.</w:t>
      </w:r>
    </w:p>
    <w:p w14:paraId="43E0B280" w14:textId="77777777" w:rsidR="003669FF" w:rsidRPr="003669FF" w:rsidRDefault="005D0A08" w:rsidP="003669FF">
      <w:pPr>
        <w:rPr>
          <w:rFonts w:ascii="Arial" w:hAnsi="Arial" w:cs="Arial"/>
          <w:sz w:val="20"/>
          <w:szCs w:val="20"/>
        </w:rPr>
      </w:pPr>
      <w:r>
        <w:rPr>
          <w:rFonts w:ascii="Arial" w:hAnsi="Arial" w:cs="Arial"/>
          <w:noProof/>
          <w:sz w:val="20"/>
          <w:szCs w:val="20"/>
        </w:rPr>
        <mc:AlternateContent>
          <mc:Choice Requires="wps">
            <w:drawing>
              <wp:inline distT="0" distB="0" distL="0" distR="0" wp14:anchorId="6E5532A3" wp14:editId="55849698">
                <wp:extent cx="5829300" cy="3333750"/>
                <wp:effectExtent l="0" t="0" r="19050" b="19050"/>
                <wp:docPr id="4" name="Text Box 4"/>
                <wp:cNvGraphicFramePr/>
                <a:graphic xmlns:a="http://schemas.openxmlformats.org/drawingml/2006/main">
                  <a:graphicData uri="http://schemas.microsoft.com/office/word/2010/wordprocessingShape">
                    <wps:wsp>
                      <wps:cNvSpPr txBox="1"/>
                      <wps:spPr>
                        <a:xfrm>
                          <a:off x="0" y="0"/>
                          <a:ext cx="5829300" cy="3333750"/>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C4F5F6" w14:textId="7288448E" w:rsidR="005D0A08" w:rsidRDefault="00F84BAE" w:rsidP="00790259">
                            <w:pPr>
                              <w:spacing w:after="0"/>
                              <w:rPr>
                                <w:b/>
                              </w:rPr>
                            </w:pPr>
                            <w:r>
                              <w:rPr>
                                <w:b/>
                              </w:rPr>
                              <w:t>The Title Exchange</w:t>
                            </w:r>
                            <w:r w:rsidR="003C66AA">
                              <w:rPr>
                                <w:b/>
                              </w:rPr>
                              <w:t xml:space="preserve"> has adopted and maintains appropriate written procedures and controls for Escrow Trust Accounts allowing for electronic verification of reconciliation.</w:t>
                            </w:r>
                          </w:p>
                          <w:p w14:paraId="051CA9F9" w14:textId="3A2982BC" w:rsidR="00790259" w:rsidRPr="00790259" w:rsidRDefault="00790259" w:rsidP="005D0A08">
                            <w:pPr>
                              <w:rPr>
                                <w:b/>
                                <w:i/>
                              </w:rPr>
                            </w:pPr>
                            <w:r>
                              <w:rPr>
                                <w:b/>
                                <w:i/>
                              </w:rPr>
                              <w:t xml:space="preserve">Evidence of </w:t>
                            </w:r>
                            <w:r w:rsidR="00420C8E">
                              <w:rPr>
                                <w:b/>
                                <w:i/>
                              </w:rPr>
                              <w:t>The Title Exchange’s</w:t>
                            </w:r>
                            <w:r>
                              <w:rPr>
                                <w:b/>
                                <w:i/>
                              </w:rPr>
                              <w:t xml:space="preserve"> compliance with Best Practice 2 can be found in Appendix 2.</w:t>
                            </w:r>
                          </w:p>
                          <w:p w14:paraId="37B17380" w14:textId="77777777" w:rsidR="003C66AA" w:rsidRDefault="003C66AA" w:rsidP="003C66AA">
                            <w:pPr>
                              <w:spacing w:after="0"/>
                              <w:ind w:left="720"/>
                              <w:rPr>
                                <w:b/>
                              </w:rPr>
                            </w:pPr>
                            <w:r>
                              <w:rPr>
                                <w:b/>
                              </w:rPr>
                              <w:t>Sections:</w:t>
                            </w:r>
                          </w:p>
                          <w:p w14:paraId="2DA8B843" w14:textId="7A732348" w:rsidR="003C66AA" w:rsidRDefault="00F84BAE" w:rsidP="003C66AA">
                            <w:pPr>
                              <w:pStyle w:val="ListParagraph"/>
                              <w:numPr>
                                <w:ilvl w:val="0"/>
                                <w:numId w:val="13"/>
                              </w:numPr>
                              <w:spacing w:after="0"/>
                            </w:pPr>
                            <w:r>
                              <w:t>The Title Exchange</w:t>
                            </w:r>
                            <w:r w:rsidR="00E95064">
                              <w:t xml:space="preserve"> maintains separate operating and escrow accounts.</w:t>
                            </w:r>
                          </w:p>
                          <w:p w14:paraId="3CB1B61C" w14:textId="77777777" w:rsidR="00E95064" w:rsidRDefault="003202A3" w:rsidP="003C66AA">
                            <w:pPr>
                              <w:pStyle w:val="ListParagraph"/>
                              <w:numPr>
                                <w:ilvl w:val="0"/>
                                <w:numId w:val="13"/>
                              </w:numPr>
                              <w:spacing w:after="0"/>
                            </w:pPr>
                            <w:r>
                              <w:t>Escrow Trust Accounts are prepared with trial balances.</w:t>
                            </w:r>
                          </w:p>
                          <w:p w14:paraId="08A42CDD" w14:textId="77777777" w:rsidR="003202A3" w:rsidRDefault="003202A3" w:rsidP="003C66AA">
                            <w:pPr>
                              <w:pStyle w:val="ListParagraph"/>
                              <w:numPr>
                                <w:ilvl w:val="0"/>
                                <w:numId w:val="13"/>
                              </w:numPr>
                              <w:spacing w:after="0"/>
                            </w:pPr>
                            <w:r>
                              <w:t>Escrow Trust Accounts are reconciled.</w:t>
                            </w:r>
                            <w:r w:rsidR="008D38B7">
                              <w:t xml:space="preserve">  Employees conducting reconciliation are not authorized signers on those accounts.</w:t>
                            </w:r>
                          </w:p>
                          <w:p w14:paraId="1D59C1DA" w14:textId="77777777" w:rsidR="003202A3" w:rsidRDefault="003202A3" w:rsidP="003C66AA">
                            <w:pPr>
                              <w:pStyle w:val="ListParagraph"/>
                              <w:numPr>
                                <w:ilvl w:val="0"/>
                                <w:numId w:val="13"/>
                              </w:numPr>
                              <w:spacing w:after="0"/>
                            </w:pPr>
                            <w:r>
                              <w:t>Escrow Trust Accounts are properly identified.</w:t>
                            </w:r>
                          </w:p>
                          <w:p w14:paraId="176E7814" w14:textId="77777777" w:rsidR="003202A3" w:rsidRDefault="003202A3" w:rsidP="003C66AA">
                            <w:pPr>
                              <w:pStyle w:val="ListParagraph"/>
                              <w:numPr>
                                <w:ilvl w:val="0"/>
                                <w:numId w:val="13"/>
                              </w:numPr>
                              <w:spacing w:after="0"/>
                            </w:pPr>
                            <w:r>
                              <w:t>Outstanding file balances are documented.</w:t>
                            </w:r>
                          </w:p>
                          <w:p w14:paraId="04014D5E" w14:textId="77777777" w:rsidR="003202A3" w:rsidRDefault="003202A3" w:rsidP="003C66AA">
                            <w:pPr>
                              <w:pStyle w:val="ListParagraph"/>
                              <w:numPr>
                                <w:ilvl w:val="0"/>
                                <w:numId w:val="13"/>
                              </w:numPr>
                              <w:spacing w:after="0"/>
                            </w:pPr>
                            <w:r>
                              <w:t>Transactions are conducted by authorized closers only.</w:t>
                            </w:r>
                          </w:p>
                          <w:p w14:paraId="4101C82B" w14:textId="77777777" w:rsidR="003202A3" w:rsidRDefault="00F401A2" w:rsidP="003C66AA">
                            <w:pPr>
                              <w:pStyle w:val="ListParagraph"/>
                              <w:numPr>
                                <w:ilvl w:val="0"/>
                                <w:numId w:val="13"/>
                              </w:numPr>
                              <w:spacing w:after="0"/>
                            </w:pPr>
                            <w:r>
                              <w:t>Our Escrow Trust Account is</w:t>
                            </w:r>
                            <w:r w:rsidR="003202A3">
                              <w:t xml:space="preserve"> maintained at </w:t>
                            </w:r>
                            <w:r w:rsidR="00790259">
                              <w:t xml:space="preserve">a </w:t>
                            </w:r>
                            <w:r w:rsidR="003202A3">
                              <w:t>Federall</w:t>
                            </w:r>
                            <w:r w:rsidR="00790259">
                              <w:t>y Insured Financial Institution</w:t>
                            </w:r>
                            <w:r w:rsidR="003202A3">
                              <w:t>.</w:t>
                            </w:r>
                          </w:p>
                          <w:p w14:paraId="7C68FC39" w14:textId="1865C5DF" w:rsidR="003202A3" w:rsidRDefault="00F84BAE" w:rsidP="003C66AA">
                            <w:pPr>
                              <w:pStyle w:val="ListParagraph"/>
                              <w:numPr>
                                <w:ilvl w:val="0"/>
                                <w:numId w:val="13"/>
                              </w:numPr>
                              <w:spacing w:after="0"/>
                            </w:pPr>
                            <w:r>
                              <w:t>I</w:t>
                            </w:r>
                            <w:r w:rsidR="003202A3">
                              <w:t>nternational wire blocks are utilized.</w:t>
                            </w:r>
                          </w:p>
                          <w:p w14:paraId="62A11868" w14:textId="77777777" w:rsidR="003202A3" w:rsidRPr="003C66AA" w:rsidRDefault="003202A3" w:rsidP="003C66AA">
                            <w:pPr>
                              <w:pStyle w:val="ListParagraph"/>
                              <w:numPr>
                                <w:ilvl w:val="0"/>
                                <w:numId w:val="13"/>
                              </w:numPr>
                              <w:spacing w:after="0"/>
                            </w:pPr>
                            <w:r>
                              <w:t xml:space="preserve">Ongoing training is conducted for </w:t>
                            </w:r>
                            <w:r w:rsidR="002C57DB">
                              <w:t xml:space="preserve">closing/settlement </w:t>
                            </w:r>
                            <w:r>
                              <w:t>employees in management of escrow funds and escrow accounting.</w:t>
                            </w:r>
                            <w:r w:rsidR="008D38B7">
                              <w:t xml:space="preserve">  T</w:t>
                            </w:r>
                            <w:r w:rsidR="00893B62">
                              <w:t>raining</w:t>
                            </w:r>
                            <w:r w:rsidR="008D38B7">
                              <w:t xml:space="preserve"> occur</w:t>
                            </w:r>
                            <w:r w:rsidR="00893B62">
                              <w:t>s</w:t>
                            </w:r>
                            <w:r w:rsidR="008D38B7">
                              <w:t xml:space="preserve"> in person, online and through teleconference.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E5532A3" id="Text Box 4" o:spid="_x0000_s1030" type="#_x0000_t202" style="width:459pt;height:2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" fillcolor="#f2f2f2 [3052]" strokeweight=".5pt">
                <v:textbox>
                  <w:txbxContent>
                    <w:p w14:paraId="1EC4F5F6" w14:textId="7288448E" w:rsidR="005D0A08" w:rsidRDefault="00F84BAE" w:rsidP="00790259">
                      <w:pPr>
                        <w:spacing w:after="0"/>
                        <w:rPr>
                          <w:b/>
                        </w:rPr>
                      </w:pPr>
                      <w:r>
                        <w:rPr>
                          <w:b/>
                        </w:rPr>
                        <w:t>The Title Exchange</w:t>
                      </w:r>
                      <w:r w:rsidR="003C66AA">
                        <w:rPr>
                          <w:b/>
                        </w:rPr>
                        <w:t xml:space="preserve"> has adopted and maintains appropriate written procedures and controls for Escrow Trust Accounts allowing for electronic verification of reconciliation.</w:t>
                      </w:r>
                    </w:p>
                    <w:p w14:paraId="051CA9F9" w14:textId="3A2982BC" w:rsidR="00790259" w:rsidRPr="00790259" w:rsidRDefault="00790259" w:rsidP="005D0A08">
                      <w:pPr>
                        <w:rPr>
                          <w:b/>
                          <w:i/>
                        </w:rPr>
                      </w:pPr>
                      <w:r>
                        <w:rPr>
                          <w:b/>
                          <w:i/>
                        </w:rPr>
                        <w:t xml:space="preserve">Evidence of </w:t>
                      </w:r>
                      <w:r w:rsidR="00420C8E">
                        <w:rPr>
                          <w:b/>
                          <w:i/>
                        </w:rPr>
                        <w:t>The Title Exchange’s</w:t>
                      </w:r>
                      <w:r>
                        <w:rPr>
                          <w:b/>
                          <w:i/>
                        </w:rPr>
                        <w:t xml:space="preserve"> compliance with Best Practice 2 can be found in Appendix 2.</w:t>
                      </w:r>
                    </w:p>
                    <w:p w14:paraId="37B17380" w14:textId="77777777" w:rsidR="003C66AA" w:rsidRDefault="003C66AA" w:rsidP="003C66AA">
                      <w:pPr>
                        <w:spacing w:after="0"/>
                        <w:ind w:left="720"/>
                        <w:rPr>
                          <w:b/>
                        </w:rPr>
                      </w:pPr>
                      <w:r>
                        <w:rPr>
                          <w:b/>
                        </w:rPr>
                        <w:t>Sections:</w:t>
                      </w:r>
                    </w:p>
                    <w:p w14:paraId="2DA8B843" w14:textId="7A732348" w:rsidR="003C66AA" w:rsidRDefault="00F84BAE" w:rsidP="003C66AA">
                      <w:pPr>
                        <w:pStyle w:val="ListParagraph"/>
                        <w:numPr>
                          <w:ilvl w:val="0"/>
                          <w:numId w:val="13"/>
                        </w:numPr>
                        <w:spacing w:after="0"/>
                      </w:pPr>
                      <w:r>
                        <w:t>The Title Exchange</w:t>
                      </w:r>
                      <w:r w:rsidR="00E95064">
                        <w:t xml:space="preserve"> maintains separate operating and escrow accounts.</w:t>
                      </w:r>
                    </w:p>
                    <w:p w14:paraId="3CB1B61C" w14:textId="77777777" w:rsidR="00E95064" w:rsidRDefault="003202A3" w:rsidP="003C66AA">
                      <w:pPr>
                        <w:pStyle w:val="ListParagraph"/>
                        <w:numPr>
                          <w:ilvl w:val="0"/>
                          <w:numId w:val="13"/>
                        </w:numPr>
                        <w:spacing w:after="0"/>
                      </w:pPr>
                      <w:r>
                        <w:t>Escrow Trust Accounts are prepared with trial balances.</w:t>
                      </w:r>
                    </w:p>
                    <w:p w14:paraId="08A42CDD" w14:textId="77777777" w:rsidR="003202A3" w:rsidRDefault="003202A3" w:rsidP="003C66AA">
                      <w:pPr>
                        <w:pStyle w:val="ListParagraph"/>
                        <w:numPr>
                          <w:ilvl w:val="0"/>
                          <w:numId w:val="13"/>
                        </w:numPr>
                        <w:spacing w:after="0"/>
                      </w:pPr>
                      <w:r>
                        <w:t>Escrow Trust Accounts are reconciled.</w:t>
                      </w:r>
                      <w:r w:rsidR="008D38B7">
                        <w:t xml:space="preserve">  Employees conducting reconciliation are not authorized signers on those accounts.</w:t>
                      </w:r>
                    </w:p>
                    <w:p w14:paraId="1D59C1DA" w14:textId="77777777" w:rsidR="003202A3" w:rsidRDefault="003202A3" w:rsidP="003C66AA">
                      <w:pPr>
                        <w:pStyle w:val="ListParagraph"/>
                        <w:numPr>
                          <w:ilvl w:val="0"/>
                          <w:numId w:val="13"/>
                        </w:numPr>
                        <w:spacing w:after="0"/>
                      </w:pPr>
                      <w:r>
                        <w:t>Escrow Trust Accounts are properly identified.</w:t>
                      </w:r>
                    </w:p>
                    <w:p w14:paraId="176E7814" w14:textId="77777777" w:rsidR="003202A3" w:rsidRDefault="003202A3" w:rsidP="003C66AA">
                      <w:pPr>
                        <w:pStyle w:val="ListParagraph"/>
                        <w:numPr>
                          <w:ilvl w:val="0"/>
                          <w:numId w:val="13"/>
                        </w:numPr>
                        <w:spacing w:after="0"/>
                      </w:pPr>
                      <w:r>
                        <w:t>Outstanding file balances are documented.</w:t>
                      </w:r>
                    </w:p>
                    <w:p w14:paraId="04014D5E" w14:textId="77777777" w:rsidR="003202A3" w:rsidRDefault="003202A3" w:rsidP="003C66AA">
                      <w:pPr>
                        <w:pStyle w:val="ListParagraph"/>
                        <w:numPr>
                          <w:ilvl w:val="0"/>
                          <w:numId w:val="13"/>
                        </w:numPr>
                        <w:spacing w:after="0"/>
                      </w:pPr>
                      <w:r>
                        <w:t>Transactions are conducted by authorized closers only.</w:t>
                      </w:r>
                    </w:p>
                    <w:p w14:paraId="4101C82B" w14:textId="77777777" w:rsidR="003202A3" w:rsidRDefault="00F401A2" w:rsidP="003C66AA">
                      <w:pPr>
                        <w:pStyle w:val="ListParagraph"/>
                        <w:numPr>
                          <w:ilvl w:val="0"/>
                          <w:numId w:val="13"/>
                        </w:numPr>
                        <w:spacing w:after="0"/>
                      </w:pPr>
                      <w:r>
                        <w:t>Our Escrow Trust Account is</w:t>
                      </w:r>
                      <w:r w:rsidR="003202A3">
                        <w:t xml:space="preserve"> maintained at </w:t>
                      </w:r>
                      <w:r w:rsidR="00790259">
                        <w:t xml:space="preserve">a </w:t>
                      </w:r>
                      <w:r w:rsidR="003202A3">
                        <w:t>Federall</w:t>
                      </w:r>
                      <w:r w:rsidR="00790259">
                        <w:t>y Insured Financial Institution</w:t>
                      </w:r>
                      <w:r w:rsidR="003202A3">
                        <w:t>.</w:t>
                      </w:r>
                    </w:p>
                    <w:p w14:paraId="7C68FC39" w14:textId="1865C5DF" w:rsidR="003202A3" w:rsidRDefault="00F84BAE" w:rsidP="003C66AA">
                      <w:pPr>
                        <w:pStyle w:val="ListParagraph"/>
                        <w:numPr>
                          <w:ilvl w:val="0"/>
                          <w:numId w:val="13"/>
                        </w:numPr>
                        <w:spacing w:after="0"/>
                      </w:pPr>
                      <w:r>
                        <w:t>I</w:t>
                      </w:r>
                      <w:r w:rsidR="003202A3">
                        <w:t>nternational wire blocks are utilized.</w:t>
                      </w:r>
                    </w:p>
                    <w:p w14:paraId="62A11868" w14:textId="77777777" w:rsidR="003202A3" w:rsidRPr="003C66AA" w:rsidRDefault="003202A3" w:rsidP="003C66AA">
                      <w:pPr>
                        <w:pStyle w:val="ListParagraph"/>
                        <w:numPr>
                          <w:ilvl w:val="0"/>
                          <w:numId w:val="13"/>
                        </w:numPr>
                        <w:spacing w:after="0"/>
                      </w:pPr>
                      <w:r>
                        <w:t xml:space="preserve">Ongoing training is conducted for </w:t>
                      </w:r>
                      <w:r w:rsidR="002C57DB">
                        <w:t xml:space="preserve">closing/settlement </w:t>
                      </w:r>
                      <w:r>
                        <w:t>employees in management of escrow funds and escrow accounting.</w:t>
                      </w:r>
                      <w:r w:rsidR="008D38B7">
                        <w:t xml:space="preserve">  T</w:t>
                      </w:r>
                      <w:r w:rsidR="00893B62">
                        <w:t>raining</w:t>
                      </w:r>
                      <w:r w:rsidR="008D38B7">
                        <w:t xml:space="preserve"> occur</w:t>
                      </w:r>
                      <w:r w:rsidR="00893B62">
                        <w:t>s</w:t>
                      </w:r>
                      <w:r w:rsidR="008D38B7">
                        <w:t xml:space="preserve"> in person, online and through teleconference.</w:t>
                      </w:r>
                    </w:p>
                  </w:txbxContent>
                </v:textbox>
                <w10:anchorlock/>
              </v:shape>
            </w:pict>
          </mc:Fallback>
        </mc:AlternateContent>
      </w:r>
    </w:p>
    <w:p w14:paraId="1E2CB065" w14:textId="77777777" w:rsidR="005D0A08" w:rsidRDefault="005D0A08" w:rsidP="005D0A08">
      <w:pPr>
        <w:pStyle w:val="ListParagraph"/>
        <w:ind w:left="360"/>
        <w:rPr>
          <w:rFonts w:ascii="Arial" w:hAnsi="Arial" w:cs="Arial"/>
          <w:b/>
          <w:sz w:val="20"/>
          <w:szCs w:val="20"/>
        </w:rPr>
      </w:pPr>
    </w:p>
    <w:p w14:paraId="3377C8A4" w14:textId="77777777" w:rsidR="00B3265E" w:rsidRPr="00672C0B" w:rsidRDefault="00B3265E" w:rsidP="00B3265E">
      <w:pPr>
        <w:pStyle w:val="ListParagraph"/>
        <w:numPr>
          <w:ilvl w:val="0"/>
          <w:numId w:val="8"/>
        </w:numPr>
        <w:rPr>
          <w:rFonts w:ascii="Arial" w:hAnsi="Arial" w:cs="Arial"/>
          <w:b/>
          <w:sz w:val="20"/>
          <w:szCs w:val="20"/>
        </w:rPr>
      </w:pPr>
      <w:r w:rsidRPr="00672C0B">
        <w:rPr>
          <w:rFonts w:ascii="Arial" w:hAnsi="Arial" w:cs="Arial"/>
          <w:b/>
          <w:sz w:val="20"/>
          <w:szCs w:val="20"/>
        </w:rPr>
        <w:lastRenderedPageBreak/>
        <w:t>Best Practice: Adopt and maintain a written privacy and information security program to protect Non-public Personal Information</w:t>
      </w:r>
      <w:r w:rsidRPr="00672C0B" w:rsidDel="00FA2267">
        <w:rPr>
          <w:rFonts w:ascii="Arial" w:hAnsi="Arial" w:cs="Arial"/>
          <w:b/>
          <w:sz w:val="20"/>
          <w:szCs w:val="20"/>
        </w:rPr>
        <w:t xml:space="preserve"> </w:t>
      </w:r>
      <w:r w:rsidRPr="00672C0B">
        <w:rPr>
          <w:rFonts w:ascii="Arial" w:hAnsi="Arial" w:cs="Arial"/>
          <w:b/>
          <w:sz w:val="20"/>
          <w:szCs w:val="20"/>
        </w:rPr>
        <w:t>as required by local, state and federal law.</w:t>
      </w:r>
    </w:p>
    <w:p w14:paraId="15590D07" w14:textId="685201B1"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 xml:space="preserve">Federal and state laws require title companies to develop a written information security program that describes the procedures </w:t>
      </w:r>
      <w:r>
        <w:rPr>
          <w:rFonts w:ascii="Arial" w:hAnsi="Arial" w:cs="Arial"/>
          <w:sz w:val="20"/>
          <w:szCs w:val="20"/>
        </w:rPr>
        <w:t xml:space="preserve">they employ </w:t>
      </w:r>
      <w:r w:rsidRPr="00672C0B">
        <w:rPr>
          <w:rFonts w:ascii="Arial" w:hAnsi="Arial" w:cs="Arial"/>
          <w:sz w:val="20"/>
          <w:szCs w:val="20"/>
        </w:rPr>
        <w:t xml:space="preserve">to protect Non-public Personal Information. The program must be appropriate to the Company’s size and complexity, the nature and scope of the Company’s activities, and the sensitivity of the customer information the Company handles. A Company evaluates and adjusts its program in light of relevant circumstances, including changes in the Company’s business or operations, or the results of security testing and monitoring. </w:t>
      </w:r>
    </w:p>
    <w:p w14:paraId="14558A08" w14:textId="77777777" w:rsidR="00B3265E" w:rsidRPr="00672C0B" w:rsidRDefault="00B3265E" w:rsidP="00B3265E">
      <w:pPr>
        <w:rPr>
          <w:rFonts w:ascii="Arial" w:hAnsi="Arial" w:cs="Arial"/>
          <w:sz w:val="20"/>
          <w:szCs w:val="20"/>
        </w:rPr>
      </w:pPr>
      <w:r w:rsidRPr="00672C0B">
        <w:rPr>
          <w:rFonts w:ascii="Arial" w:hAnsi="Arial" w:cs="Arial"/>
          <w:sz w:val="20"/>
          <w:szCs w:val="20"/>
        </w:rPr>
        <w:t>Procedures to meet this best practice:</w:t>
      </w:r>
    </w:p>
    <w:p w14:paraId="309D0922"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Physical security of Non-public Personal Information.</w:t>
      </w:r>
    </w:p>
    <w:p w14:paraId="137427FC"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Restrict access to Non-public Personal Information to authorized employees who have undergone Background Checks at hiring.</w:t>
      </w:r>
    </w:p>
    <w:p w14:paraId="6A2E9EB9"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Prohibit or control the use of removable media.</w:t>
      </w:r>
    </w:p>
    <w:p w14:paraId="198C178B"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 xml:space="preserve">Use only secure delivery methods when transmitting Non-public Personal Information. </w:t>
      </w:r>
    </w:p>
    <w:p w14:paraId="2E6FFE66"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 xml:space="preserve">Network security of Non-public Personal Information. </w:t>
      </w:r>
    </w:p>
    <w:p w14:paraId="197F4CCC"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Maintain and secure access to Company information technology</w:t>
      </w:r>
    </w:p>
    <w:p w14:paraId="43B1FB5C"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Develop guidelines for the appropriate use of Company information technology.</w:t>
      </w:r>
    </w:p>
    <w:p w14:paraId="1E04DCAE"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Ensure secure collection and transmission of Non-public Personal Information.</w:t>
      </w:r>
    </w:p>
    <w:p w14:paraId="3B92B409" w14:textId="77777777" w:rsidR="00B3265E" w:rsidRPr="00672C0B" w:rsidRDefault="00B3265E" w:rsidP="00B3265E">
      <w:pPr>
        <w:pStyle w:val="ListParagraph"/>
        <w:numPr>
          <w:ilvl w:val="0"/>
          <w:numId w:val="1"/>
        </w:numPr>
        <w:rPr>
          <w:rFonts w:ascii="Arial" w:hAnsi="Arial" w:cs="Arial"/>
          <w:sz w:val="20"/>
          <w:szCs w:val="20"/>
        </w:rPr>
      </w:pPr>
      <w:r>
        <w:rPr>
          <w:rFonts w:ascii="Arial" w:hAnsi="Arial" w:cs="Arial"/>
          <w:sz w:val="20"/>
          <w:szCs w:val="20"/>
        </w:rPr>
        <w:t>D</w:t>
      </w:r>
      <w:r w:rsidRPr="00672C0B">
        <w:rPr>
          <w:rFonts w:ascii="Arial" w:hAnsi="Arial" w:cs="Arial"/>
          <w:sz w:val="20"/>
          <w:szCs w:val="20"/>
        </w:rPr>
        <w:t>isposal of Non-public Personal Information.</w:t>
      </w:r>
    </w:p>
    <w:p w14:paraId="06119949" w14:textId="77777777" w:rsidR="00B3265E" w:rsidRPr="00672C0B" w:rsidRDefault="00B3265E" w:rsidP="00B3265E">
      <w:pPr>
        <w:pStyle w:val="ListParagraph"/>
        <w:numPr>
          <w:ilvl w:val="1"/>
          <w:numId w:val="1"/>
        </w:numPr>
        <w:rPr>
          <w:rFonts w:ascii="Arial" w:hAnsi="Arial" w:cs="Arial"/>
          <w:sz w:val="20"/>
          <w:szCs w:val="20"/>
        </w:rPr>
      </w:pPr>
      <w:r w:rsidRPr="00672C0B">
        <w:rPr>
          <w:rFonts w:ascii="Arial" w:hAnsi="Arial" w:cs="Arial"/>
          <w:sz w:val="20"/>
          <w:szCs w:val="20"/>
        </w:rPr>
        <w:t xml:space="preserve">Federal law requires companies that possess Non-public Personal Information for a business purpose to dispose of such information properly in a manner that protects against unauthorized access to or use of the information. </w:t>
      </w:r>
    </w:p>
    <w:p w14:paraId="6C323B17"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Establish a disaster management plan.</w:t>
      </w:r>
    </w:p>
    <w:p w14:paraId="5E11DCB0" w14:textId="77777777" w:rsidR="00B3265E" w:rsidRPr="00672C0B" w:rsidRDefault="00B3265E" w:rsidP="00B3265E">
      <w:pPr>
        <w:pStyle w:val="ListParagraph"/>
        <w:numPr>
          <w:ilvl w:val="0"/>
          <w:numId w:val="1"/>
        </w:numPr>
        <w:rPr>
          <w:rFonts w:ascii="Arial" w:hAnsi="Arial" w:cs="Arial"/>
          <w:sz w:val="20"/>
          <w:szCs w:val="20"/>
        </w:rPr>
      </w:pPr>
      <w:r w:rsidRPr="00672C0B">
        <w:rPr>
          <w:rFonts w:ascii="Arial" w:hAnsi="Arial" w:cs="Arial"/>
          <w:sz w:val="20"/>
          <w:szCs w:val="20"/>
        </w:rPr>
        <w:t xml:space="preserve">Appropriate management and training of employees to </w:t>
      </w:r>
      <w:r>
        <w:rPr>
          <w:rFonts w:ascii="Arial" w:hAnsi="Arial" w:cs="Arial"/>
          <w:sz w:val="20"/>
          <w:szCs w:val="20"/>
        </w:rPr>
        <w:t xml:space="preserve">help </w:t>
      </w:r>
      <w:r w:rsidRPr="00672C0B">
        <w:rPr>
          <w:rFonts w:ascii="Arial" w:hAnsi="Arial" w:cs="Arial"/>
          <w:sz w:val="20"/>
          <w:szCs w:val="20"/>
        </w:rPr>
        <w:t>ensure compliance with Company’s information security program.</w:t>
      </w:r>
    </w:p>
    <w:p w14:paraId="6E4C252D" w14:textId="77777777" w:rsidR="00B3265E" w:rsidRPr="00672C0B" w:rsidRDefault="00B3265E" w:rsidP="00B3265E">
      <w:pPr>
        <w:pStyle w:val="ListParagraph"/>
        <w:numPr>
          <w:ilvl w:val="0"/>
          <w:numId w:val="2"/>
        </w:numPr>
        <w:rPr>
          <w:rFonts w:ascii="Arial" w:hAnsi="Arial" w:cs="Arial"/>
          <w:sz w:val="20"/>
          <w:szCs w:val="20"/>
        </w:rPr>
      </w:pPr>
      <w:r w:rsidRPr="00672C0B">
        <w:rPr>
          <w:rFonts w:ascii="Arial" w:hAnsi="Arial" w:cs="Arial"/>
          <w:sz w:val="20"/>
          <w:szCs w:val="20"/>
        </w:rPr>
        <w:t xml:space="preserve">Oversight of service providers to </w:t>
      </w:r>
      <w:r>
        <w:rPr>
          <w:rFonts w:ascii="Arial" w:hAnsi="Arial" w:cs="Arial"/>
          <w:sz w:val="20"/>
          <w:szCs w:val="20"/>
        </w:rPr>
        <w:t xml:space="preserve">help </w:t>
      </w:r>
      <w:r w:rsidRPr="00672C0B">
        <w:rPr>
          <w:rFonts w:ascii="Arial" w:hAnsi="Arial" w:cs="Arial"/>
          <w:sz w:val="20"/>
          <w:szCs w:val="20"/>
        </w:rPr>
        <w:t>ensure compliance with a Company’s information security program.</w:t>
      </w:r>
    </w:p>
    <w:p w14:paraId="7A3B15FF" w14:textId="77777777" w:rsidR="00B3265E" w:rsidRPr="00672C0B" w:rsidRDefault="00B3265E" w:rsidP="00B3265E">
      <w:pPr>
        <w:pStyle w:val="ListParagraph"/>
        <w:numPr>
          <w:ilvl w:val="1"/>
          <w:numId w:val="2"/>
        </w:numPr>
        <w:rPr>
          <w:rFonts w:ascii="Arial" w:hAnsi="Arial" w:cs="Arial"/>
          <w:sz w:val="20"/>
          <w:szCs w:val="20"/>
        </w:rPr>
      </w:pPr>
      <w:r w:rsidRPr="00672C0B">
        <w:rPr>
          <w:rFonts w:ascii="Arial" w:hAnsi="Arial" w:cs="Arial"/>
          <w:sz w:val="20"/>
          <w:szCs w:val="20"/>
        </w:rPr>
        <w:t>Companies should take reasonable steps to select and retain service providers that are capable of appropriately safeguarding Non-public Personal Information.</w:t>
      </w:r>
    </w:p>
    <w:p w14:paraId="47C7D225" w14:textId="77777777" w:rsidR="00B3265E" w:rsidRPr="00672C0B" w:rsidRDefault="00B3265E" w:rsidP="00B3265E">
      <w:pPr>
        <w:pStyle w:val="ListParagraph"/>
        <w:numPr>
          <w:ilvl w:val="0"/>
          <w:numId w:val="2"/>
        </w:numPr>
        <w:rPr>
          <w:rFonts w:ascii="Arial" w:hAnsi="Arial" w:cs="Arial"/>
          <w:sz w:val="20"/>
          <w:szCs w:val="20"/>
        </w:rPr>
      </w:pPr>
      <w:r w:rsidRPr="00672C0B">
        <w:rPr>
          <w:rFonts w:ascii="Arial" w:hAnsi="Arial" w:cs="Arial"/>
          <w:sz w:val="20"/>
          <w:szCs w:val="20"/>
        </w:rPr>
        <w:t xml:space="preserve">Audit and oversight procedures to </w:t>
      </w:r>
      <w:r>
        <w:rPr>
          <w:rFonts w:ascii="Arial" w:hAnsi="Arial" w:cs="Arial"/>
          <w:sz w:val="20"/>
          <w:szCs w:val="20"/>
        </w:rPr>
        <w:t xml:space="preserve">help </w:t>
      </w:r>
      <w:r w:rsidRPr="00672C0B">
        <w:rPr>
          <w:rFonts w:ascii="Arial" w:hAnsi="Arial" w:cs="Arial"/>
          <w:sz w:val="20"/>
          <w:szCs w:val="20"/>
        </w:rPr>
        <w:t>ensure compliance with Company’s information security program.</w:t>
      </w:r>
    </w:p>
    <w:p w14:paraId="57D5AEAE" w14:textId="77777777" w:rsidR="00B3265E" w:rsidRPr="00672C0B" w:rsidRDefault="00B3265E" w:rsidP="00B3265E">
      <w:pPr>
        <w:pStyle w:val="ListParagraph"/>
        <w:numPr>
          <w:ilvl w:val="1"/>
          <w:numId w:val="2"/>
        </w:numPr>
        <w:rPr>
          <w:rFonts w:ascii="Arial" w:hAnsi="Arial" w:cs="Arial"/>
          <w:sz w:val="20"/>
          <w:szCs w:val="20"/>
        </w:rPr>
      </w:pPr>
      <w:r w:rsidRPr="00672C0B">
        <w:rPr>
          <w:rFonts w:ascii="Arial" w:hAnsi="Arial" w:cs="Arial"/>
          <w:sz w:val="20"/>
          <w:szCs w:val="20"/>
        </w:rPr>
        <w:t xml:space="preserve">Companies should review their privacy and information security procedures to detect the potential for improper disclosure of confidential information. </w:t>
      </w:r>
    </w:p>
    <w:p w14:paraId="3B9B2FDD" w14:textId="77777777" w:rsidR="00B3265E" w:rsidRPr="00672C0B" w:rsidRDefault="00B3265E" w:rsidP="00B3265E">
      <w:pPr>
        <w:pStyle w:val="ListParagraph"/>
        <w:numPr>
          <w:ilvl w:val="0"/>
          <w:numId w:val="2"/>
        </w:numPr>
        <w:rPr>
          <w:rFonts w:ascii="Arial" w:hAnsi="Arial" w:cs="Arial"/>
          <w:sz w:val="20"/>
          <w:szCs w:val="20"/>
        </w:rPr>
      </w:pPr>
      <w:r w:rsidRPr="00672C0B">
        <w:rPr>
          <w:rFonts w:ascii="Arial" w:hAnsi="Arial" w:cs="Arial"/>
          <w:sz w:val="20"/>
          <w:szCs w:val="20"/>
        </w:rPr>
        <w:t>Notification of security breaches to customers and law enforcement.</w:t>
      </w:r>
    </w:p>
    <w:p w14:paraId="4B880548" w14:textId="77777777" w:rsidR="00B3265E" w:rsidRDefault="00B3265E" w:rsidP="00B3265E">
      <w:pPr>
        <w:pStyle w:val="ListParagraph"/>
        <w:numPr>
          <w:ilvl w:val="1"/>
          <w:numId w:val="2"/>
        </w:numPr>
        <w:rPr>
          <w:rFonts w:ascii="Arial" w:hAnsi="Arial" w:cs="Arial"/>
          <w:sz w:val="20"/>
          <w:szCs w:val="20"/>
        </w:rPr>
      </w:pPr>
      <w:r w:rsidRPr="00672C0B">
        <w:rPr>
          <w:rFonts w:ascii="Arial" w:hAnsi="Arial" w:cs="Arial"/>
          <w:sz w:val="20"/>
          <w:szCs w:val="20"/>
        </w:rPr>
        <w:t>Companies should post the privacy and information security program on their websites or provide program information directly to customers in another useable form. When a breach is detected, the Company should have a program to inform customers and law enforcement as required by law.</w:t>
      </w:r>
    </w:p>
    <w:p w14:paraId="3C3F6663" w14:textId="77777777" w:rsidR="005D0A08" w:rsidRPr="005D0A08" w:rsidRDefault="005D0A08" w:rsidP="005D0A08">
      <w:pPr>
        <w:rPr>
          <w:rFonts w:ascii="Arial" w:hAnsi="Arial" w:cs="Arial"/>
          <w:sz w:val="20"/>
          <w:szCs w:val="20"/>
        </w:rPr>
      </w:pPr>
      <w:r>
        <w:rPr>
          <w:rFonts w:ascii="Arial" w:hAnsi="Arial" w:cs="Arial"/>
          <w:noProof/>
          <w:sz w:val="20"/>
          <w:szCs w:val="20"/>
        </w:rPr>
        <w:lastRenderedPageBreak/>
        <mc:AlternateContent>
          <mc:Choice Requires="wps">
            <w:drawing>
              <wp:inline distT="0" distB="0" distL="0" distR="0" wp14:anchorId="5A9216F7" wp14:editId="3187E217">
                <wp:extent cx="5829300" cy="2886075"/>
                <wp:effectExtent l="0" t="0" r="19050" b="28575"/>
                <wp:docPr id="5" name="Text Box 5"/>
                <wp:cNvGraphicFramePr/>
                <a:graphic xmlns:a="http://schemas.openxmlformats.org/drawingml/2006/main">
                  <a:graphicData uri="http://schemas.microsoft.com/office/word/2010/wordprocessingShape">
                    <wps:wsp>
                      <wps:cNvSpPr txBox="1"/>
                      <wps:spPr>
                        <a:xfrm>
                          <a:off x="0" y="0"/>
                          <a:ext cx="5829300" cy="2886075"/>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693B47F" w14:textId="6586B4DF" w:rsidR="005D0A08" w:rsidRPr="00B46753" w:rsidRDefault="00F84BAE" w:rsidP="00B46753">
                            <w:pPr>
                              <w:spacing w:after="0"/>
                              <w:rPr>
                                <w:b/>
                              </w:rPr>
                            </w:pPr>
                            <w:r>
                              <w:rPr>
                                <w:b/>
                              </w:rPr>
                              <w:t>The Title Exchange</w:t>
                            </w:r>
                            <w:r w:rsidR="00AA38A4" w:rsidRPr="00B46753">
                              <w:rPr>
                                <w:b/>
                              </w:rPr>
                              <w:t xml:space="preserve"> has adopted and maintains a written privacy and information security program to protect Non-public Personal Information as required by local, state, and federal law.</w:t>
                            </w:r>
                          </w:p>
                          <w:p w14:paraId="1B806419" w14:textId="323E4C40" w:rsidR="00AA38A4" w:rsidRPr="00B46753" w:rsidRDefault="00AA38A4" w:rsidP="005D0A08">
                            <w:pPr>
                              <w:rPr>
                                <w:b/>
                                <w:i/>
                              </w:rPr>
                            </w:pPr>
                            <w:r w:rsidRPr="00B46753">
                              <w:rPr>
                                <w:b/>
                                <w:i/>
                              </w:rPr>
                              <w:t xml:space="preserve">Evidence of </w:t>
                            </w:r>
                            <w:r w:rsidR="00F84BAE">
                              <w:rPr>
                                <w:b/>
                                <w:i/>
                              </w:rPr>
                              <w:t>The Title Exchange’s</w:t>
                            </w:r>
                            <w:r w:rsidRPr="00B46753">
                              <w:rPr>
                                <w:b/>
                                <w:i/>
                              </w:rPr>
                              <w:t xml:space="preserve"> compliance with Best Practice 3 can be found in Appendix 3.</w:t>
                            </w:r>
                          </w:p>
                          <w:p w14:paraId="278CE594" w14:textId="77777777" w:rsidR="00AA38A4" w:rsidRDefault="00AA38A4" w:rsidP="00AA38A4">
                            <w:pPr>
                              <w:spacing w:after="0"/>
                              <w:ind w:left="720"/>
                              <w:rPr>
                                <w:b/>
                              </w:rPr>
                            </w:pPr>
                            <w:r>
                              <w:rPr>
                                <w:b/>
                              </w:rPr>
                              <w:t>Sections:</w:t>
                            </w:r>
                          </w:p>
                          <w:p w14:paraId="63503814" w14:textId="705D83B1" w:rsidR="00AA38A4" w:rsidRDefault="00F84BAE" w:rsidP="00AA38A4">
                            <w:pPr>
                              <w:pStyle w:val="ListParagraph"/>
                              <w:numPr>
                                <w:ilvl w:val="0"/>
                                <w:numId w:val="14"/>
                              </w:numPr>
                              <w:spacing w:after="0"/>
                            </w:pPr>
                            <w:r>
                              <w:t>The Title Exchange</w:t>
                            </w:r>
                            <w:r w:rsidR="00A023D7">
                              <w:t xml:space="preserve"> physically maintains Non-public personal information in a secure environment.</w:t>
                            </w:r>
                          </w:p>
                          <w:p w14:paraId="178444E3" w14:textId="77777777" w:rsidR="00A023D7" w:rsidRDefault="00A023D7" w:rsidP="00AA38A4">
                            <w:pPr>
                              <w:pStyle w:val="ListParagraph"/>
                              <w:numPr>
                                <w:ilvl w:val="0"/>
                                <w:numId w:val="14"/>
                              </w:numPr>
                              <w:spacing w:after="0"/>
                            </w:pPr>
                            <w:r>
                              <w:t>The company electronically maintains Non-public persona</w:t>
                            </w:r>
                            <w:r w:rsidR="00FA1C39">
                              <w:t>l information on secure servers with access limited to our</w:t>
                            </w:r>
                            <w:r w:rsidR="0028681F">
                              <w:t xml:space="preserve"> IT Network &amp;</w:t>
                            </w:r>
                            <w:r w:rsidR="00FA1C39">
                              <w:t xml:space="preserve"> Security Administrator.</w:t>
                            </w:r>
                          </w:p>
                          <w:p w14:paraId="48538857" w14:textId="77777777" w:rsidR="00FA1C39" w:rsidRDefault="0028681F" w:rsidP="00AA38A4">
                            <w:pPr>
                              <w:pStyle w:val="ListParagraph"/>
                              <w:numPr>
                                <w:ilvl w:val="0"/>
                                <w:numId w:val="14"/>
                              </w:numPr>
                              <w:spacing w:after="0"/>
                            </w:pPr>
                            <w:r>
                              <w:t>The company maintains a central document shredder and a secure shred cabinet maintained by a secure shredding vendor.</w:t>
                            </w:r>
                          </w:p>
                          <w:p w14:paraId="47A23D35" w14:textId="77777777" w:rsidR="0028681F" w:rsidRDefault="0028681F" w:rsidP="00AA38A4">
                            <w:pPr>
                              <w:pStyle w:val="ListParagraph"/>
                              <w:numPr>
                                <w:ilvl w:val="0"/>
                                <w:numId w:val="14"/>
                              </w:numPr>
                              <w:spacing w:after="0"/>
                            </w:pPr>
                            <w:r>
                              <w:t>The company maintains a disaster management plan.</w:t>
                            </w:r>
                          </w:p>
                          <w:p w14:paraId="3612FEA9" w14:textId="77777777" w:rsidR="00AA38A4" w:rsidRPr="00AA38A4" w:rsidRDefault="00A91077" w:rsidP="005D0A08">
                            <w:pPr>
                              <w:pStyle w:val="ListParagraph"/>
                              <w:numPr>
                                <w:ilvl w:val="0"/>
                                <w:numId w:val="14"/>
                              </w:numPr>
                              <w:spacing w:after="0"/>
                            </w:pPr>
                            <w:r>
                              <w:t>All new and existing employees are trained to assure compliance with the company’s information security program.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A9216F7" id="Text Box 5" o:spid="_x0000_s1031" type="#_x0000_t202" style="width:459pt;height:22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" fillcolor="#f2f2f2 [3052]" strokeweight=".5pt">
                <v:textbox>
                  <w:txbxContent>
                    <w:p w14:paraId="7693B47F" w14:textId="6586B4DF" w:rsidR="005D0A08" w:rsidRPr="00B46753" w:rsidRDefault="00F84BAE" w:rsidP="00B46753">
                      <w:pPr>
                        <w:spacing w:after="0"/>
                        <w:rPr>
                          <w:b/>
                        </w:rPr>
                      </w:pPr>
                      <w:r>
                        <w:rPr>
                          <w:b/>
                        </w:rPr>
                        <w:t>The Title Exchange</w:t>
                      </w:r>
                      <w:r w:rsidR="00AA38A4" w:rsidRPr="00B46753">
                        <w:rPr>
                          <w:b/>
                        </w:rPr>
                        <w:t xml:space="preserve"> has adopted and maintains a written privacy and information security program to protect Non-public Personal Information as required by local, state, and federal law.</w:t>
                      </w:r>
                    </w:p>
                    <w:p w14:paraId="1B806419" w14:textId="323E4C40" w:rsidR="00AA38A4" w:rsidRPr="00B46753" w:rsidRDefault="00AA38A4" w:rsidP="005D0A08">
                      <w:pPr>
                        <w:rPr>
                          <w:b/>
                          <w:i/>
                        </w:rPr>
                      </w:pPr>
                      <w:r w:rsidRPr="00B46753">
                        <w:rPr>
                          <w:b/>
                          <w:i/>
                        </w:rPr>
                        <w:t xml:space="preserve">Evidence of </w:t>
                      </w:r>
                      <w:r w:rsidR="00F84BAE">
                        <w:rPr>
                          <w:b/>
                          <w:i/>
                        </w:rPr>
                        <w:t>The Title Exchange’s</w:t>
                      </w:r>
                      <w:r w:rsidRPr="00B46753">
                        <w:rPr>
                          <w:b/>
                          <w:i/>
                        </w:rPr>
                        <w:t xml:space="preserve"> compliance with Best Practice 3 can be found in Appendix 3.</w:t>
                      </w:r>
                    </w:p>
                    <w:p w14:paraId="278CE594" w14:textId="77777777" w:rsidR="00AA38A4" w:rsidRDefault="00AA38A4" w:rsidP="00AA38A4">
                      <w:pPr>
                        <w:spacing w:after="0"/>
                        <w:ind w:left="720"/>
                        <w:rPr>
                          <w:b/>
                        </w:rPr>
                      </w:pPr>
                      <w:r>
                        <w:rPr>
                          <w:b/>
                        </w:rPr>
                        <w:t>Sections:</w:t>
                      </w:r>
                    </w:p>
                    <w:p w14:paraId="63503814" w14:textId="705D83B1" w:rsidR="00AA38A4" w:rsidRDefault="00F84BAE" w:rsidP="00AA38A4">
                      <w:pPr>
                        <w:pStyle w:val="ListParagraph"/>
                        <w:numPr>
                          <w:ilvl w:val="0"/>
                          <w:numId w:val="14"/>
                        </w:numPr>
                        <w:spacing w:after="0"/>
                      </w:pPr>
                      <w:r>
                        <w:t>The Title Exchange</w:t>
                      </w:r>
                      <w:r w:rsidR="00A023D7">
                        <w:t xml:space="preserve"> physically maintains Non-public personal information in a secure environment.</w:t>
                      </w:r>
                    </w:p>
                    <w:p w14:paraId="178444E3" w14:textId="77777777" w:rsidR="00A023D7" w:rsidRDefault="00A023D7" w:rsidP="00AA38A4">
                      <w:pPr>
                        <w:pStyle w:val="ListParagraph"/>
                        <w:numPr>
                          <w:ilvl w:val="0"/>
                          <w:numId w:val="14"/>
                        </w:numPr>
                        <w:spacing w:after="0"/>
                      </w:pPr>
                      <w:r>
                        <w:t>The company electronically maintains Non-public persona</w:t>
                      </w:r>
                      <w:r w:rsidR="00FA1C39">
                        <w:t>l information on secure servers with access limited to our</w:t>
                      </w:r>
                      <w:r w:rsidR="0028681F">
                        <w:t xml:space="preserve"> IT Network &amp;</w:t>
                      </w:r>
                      <w:r w:rsidR="00FA1C39">
                        <w:t xml:space="preserve"> Security Administrator.</w:t>
                      </w:r>
                    </w:p>
                    <w:p w14:paraId="48538857" w14:textId="77777777" w:rsidR="00FA1C39" w:rsidRDefault="0028681F" w:rsidP="00AA38A4">
                      <w:pPr>
                        <w:pStyle w:val="ListParagraph"/>
                        <w:numPr>
                          <w:ilvl w:val="0"/>
                          <w:numId w:val="14"/>
                        </w:numPr>
                        <w:spacing w:after="0"/>
                      </w:pPr>
                      <w:r>
                        <w:t>The company maintains a central document shredder and a secure shred cabinet maintained by a secure shredding vendor.</w:t>
                      </w:r>
                    </w:p>
                    <w:p w14:paraId="47A23D35" w14:textId="77777777" w:rsidR="0028681F" w:rsidRDefault="0028681F" w:rsidP="00AA38A4">
                      <w:pPr>
                        <w:pStyle w:val="ListParagraph"/>
                        <w:numPr>
                          <w:ilvl w:val="0"/>
                          <w:numId w:val="14"/>
                        </w:numPr>
                        <w:spacing w:after="0"/>
                      </w:pPr>
                      <w:r>
                        <w:t>The company maintains a disaster management plan.</w:t>
                      </w:r>
                    </w:p>
                    <w:p w14:paraId="3612FEA9" w14:textId="77777777" w:rsidR="00AA38A4" w:rsidRPr="00AA38A4" w:rsidRDefault="00A91077" w:rsidP="005D0A08">
                      <w:pPr>
                        <w:pStyle w:val="ListParagraph"/>
                        <w:numPr>
                          <w:ilvl w:val="0"/>
                          <w:numId w:val="14"/>
                        </w:numPr>
                        <w:spacing w:after="0"/>
                      </w:pPr>
                      <w:r>
                        <w:t>All new and existing employees are trained to assure compliance with the company’s information security program.</w:t>
                      </w:r>
                    </w:p>
                  </w:txbxContent>
                </v:textbox>
                <w10:anchorlock/>
              </v:shape>
            </w:pict>
          </mc:Fallback>
        </mc:AlternateContent>
      </w:r>
    </w:p>
    <w:p w14:paraId="6747A586" w14:textId="77777777" w:rsidR="00B3265E" w:rsidRPr="00672C0B" w:rsidRDefault="00B3265E" w:rsidP="00B3265E">
      <w:pPr>
        <w:pStyle w:val="ListParagraph"/>
        <w:ind w:left="1440"/>
        <w:rPr>
          <w:rFonts w:ascii="Arial" w:hAnsi="Arial" w:cs="Arial"/>
          <w:sz w:val="20"/>
          <w:szCs w:val="20"/>
        </w:rPr>
      </w:pPr>
    </w:p>
    <w:p w14:paraId="42A60369" w14:textId="77777777" w:rsidR="00B3265E" w:rsidRPr="00672C0B" w:rsidRDefault="00B3265E" w:rsidP="00B3265E">
      <w:pPr>
        <w:pStyle w:val="ListParagraph"/>
        <w:numPr>
          <w:ilvl w:val="0"/>
          <w:numId w:val="8"/>
        </w:numPr>
        <w:rPr>
          <w:rFonts w:ascii="Arial" w:hAnsi="Arial" w:cs="Arial"/>
          <w:b/>
          <w:sz w:val="20"/>
          <w:szCs w:val="20"/>
        </w:rPr>
      </w:pPr>
      <w:r w:rsidRPr="00672C0B">
        <w:rPr>
          <w:rFonts w:ascii="Arial" w:hAnsi="Arial" w:cs="Arial"/>
          <w:b/>
          <w:sz w:val="20"/>
          <w:szCs w:val="20"/>
        </w:rPr>
        <w:t xml:space="preserve">Best Practice: Adopt standard real estate settlement procedures and policies that </w:t>
      </w:r>
      <w:r>
        <w:rPr>
          <w:rFonts w:ascii="Arial" w:hAnsi="Arial" w:cs="Arial"/>
          <w:b/>
          <w:sz w:val="20"/>
          <w:szCs w:val="20"/>
        </w:rPr>
        <w:t xml:space="preserve">help </w:t>
      </w:r>
      <w:r w:rsidRPr="00672C0B">
        <w:rPr>
          <w:rFonts w:ascii="Arial" w:hAnsi="Arial" w:cs="Arial"/>
          <w:b/>
          <w:sz w:val="20"/>
          <w:szCs w:val="20"/>
        </w:rPr>
        <w:t>ensure compliance with Federal and State Consumer Financial Laws as applicable to the Settlement process.</w:t>
      </w:r>
    </w:p>
    <w:p w14:paraId="75DDA50A"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 xml:space="preserve">Adopting appropriate policies and conducting ongoing employee training </w:t>
      </w:r>
      <w:r>
        <w:rPr>
          <w:rFonts w:ascii="Arial" w:hAnsi="Arial" w:cs="Arial"/>
          <w:sz w:val="20"/>
          <w:szCs w:val="20"/>
        </w:rPr>
        <w:t xml:space="preserve">helps ensure the </w:t>
      </w:r>
      <w:r w:rsidRPr="00672C0B">
        <w:rPr>
          <w:rFonts w:ascii="Arial" w:hAnsi="Arial" w:cs="Arial"/>
          <w:sz w:val="20"/>
          <w:szCs w:val="20"/>
        </w:rPr>
        <w:t xml:space="preserve">Company </w:t>
      </w:r>
      <w:r>
        <w:rPr>
          <w:rFonts w:ascii="Arial" w:hAnsi="Arial" w:cs="Arial"/>
          <w:sz w:val="20"/>
          <w:szCs w:val="20"/>
        </w:rPr>
        <w:t xml:space="preserve">can </w:t>
      </w:r>
      <w:r w:rsidRPr="00672C0B">
        <w:rPr>
          <w:rFonts w:ascii="Arial" w:hAnsi="Arial" w:cs="Arial"/>
          <w:sz w:val="20"/>
          <w:szCs w:val="20"/>
        </w:rPr>
        <w:t>meet state, federal</w:t>
      </w:r>
      <w:r>
        <w:rPr>
          <w:rFonts w:ascii="Arial" w:hAnsi="Arial" w:cs="Arial"/>
          <w:sz w:val="20"/>
          <w:szCs w:val="20"/>
        </w:rPr>
        <w:t>,</w:t>
      </w:r>
      <w:r w:rsidRPr="00672C0B">
        <w:rPr>
          <w:rFonts w:ascii="Arial" w:hAnsi="Arial" w:cs="Arial"/>
          <w:sz w:val="20"/>
          <w:szCs w:val="20"/>
        </w:rPr>
        <w:t xml:space="preserve"> and contractual obligations governing the Settlement. </w:t>
      </w:r>
    </w:p>
    <w:p w14:paraId="53115EED" w14:textId="77777777" w:rsidR="00B3265E" w:rsidRPr="00672C0B" w:rsidRDefault="00B3265E" w:rsidP="00B3265E">
      <w:pPr>
        <w:rPr>
          <w:rFonts w:ascii="Arial" w:hAnsi="Arial" w:cs="Arial"/>
          <w:sz w:val="20"/>
          <w:szCs w:val="20"/>
        </w:rPr>
      </w:pPr>
      <w:r>
        <w:rPr>
          <w:rFonts w:ascii="Arial" w:hAnsi="Arial" w:cs="Arial"/>
          <w:sz w:val="20"/>
          <w:szCs w:val="20"/>
        </w:rPr>
        <w:t>P</w:t>
      </w:r>
      <w:r w:rsidRPr="00672C0B">
        <w:rPr>
          <w:rFonts w:ascii="Arial" w:hAnsi="Arial" w:cs="Arial"/>
          <w:sz w:val="20"/>
          <w:szCs w:val="20"/>
        </w:rPr>
        <w:t>rocedures to meet this best practice:</w:t>
      </w:r>
    </w:p>
    <w:p w14:paraId="5C739252" w14:textId="77777777" w:rsidR="00B3265E" w:rsidRPr="00672C0B" w:rsidRDefault="00B3265E" w:rsidP="00B3265E">
      <w:pPr>
        <w:pStyle w:val="ListParagraph"/>
        <w:numPr>
          <w:ilvl w:val="0"/>
          <w:numId w:val="3"/>
        </w:numPr>
        <w:rPr>
          <w:rFonts w:ascii="Arial" w:hAnsi="Arial" w:cs="Arial"/>
          <w:sz w:val="20"/>
          <w:szCs w:val="20"/>
        </w:rPr>
      </w:pPr>
      <w:r w:rsidRPr="00672C0B">
        <w:rPr>
          <w:rFonts w:ascii="Arial" w:hAnsi="Arial" w:cs="Arial"/>
          <w:sz w:val="20"/>
          <w:szCs w:val="20"/>
        </w:rPr>
        <w:t>Recording procedures.</w:t>
      </w:r>
    </w:p>
    <w:p w14:paraId="58C14707" w14:textId="69C7B3DF" w:rsidR="00B3265E" w:rsidRPr="00672C0B" w:rsidRDefault="00B3265E" w:rsidP="00B3265E">
      <w:pPr>
        <w:pStyle w:val="ListParagraph"/>
        <w:numPr>
          <w:ilvl w:val="1"/>
          <w:numId w:val="3"/>
        </w:numPr>
        <w:rPr>
          <w:rFonts w:ascii="Arial" w:hAnsi="Arial" w:cs="Arial"/>
          <w:sz w:val="20"/>
          <w:szCs w:val="20"/>
        </w:rPr>
      </w:pPr>
      <w:r w:rsidRPr="00672C0B">
        <w:rPr>
          <w:rFonts w:ascii="Arial" w:hAnsi="Arial" w:cs="Arial"/>
          <w:sz w:val="20"/>
          <w:szCs w:val="20"/>
        </w:rPr>
        <w:t xml:space="preserve">Review legal and contractual requirements to determine </w:t>
      </w:r>
      <w:r w:rsidR="00ED20E1">
        <w:rPr>
          <w:rFonts w:ascii="Arial" w:hAnsi="Arial" w:cs="Arial"/>
          <w:sz w:val="20"/>
          <w:szCs w:val="20"/>
        </w:rPr>
        <w:t>The Title Exchange</w:t>
      </w:r>
      <w:r w:rsidRPr="00672C0B">
        <w:rPr>
          <w:rFonts w:ascii="Arial" w:hAnsi="Arial" w:cs="Arial"/>
          <w:sz w:val="20"/>
          <w:szCs w:val="20"/>
        </w:rPr>
        <w:t xml:space="preserve"> obligations to record documents and incorporate such requirements in its written procedures.</w:t>
      </w:r>
    </w:p>
    <w:p w14:paraId="09CEBF53"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Submit or ship documents for recording to the county recorder (or equivalent) or the person or entity responsible for recording within two (2) business days of the later of (</w:t>
      </w:r>
      <w:proofErr w:type="spellStart"/>
      <w:r w:rsidRPr="00672C0B">
        <w:rPr>
          <w:rFonts w:ascii="Arial" w:hAnsi="Arial" w:cs="Arial"/>
          <w:sz w:val="20"/>
          <w:szCs w:val="20"/>
        </w:rPr>
        <w:t>i</w:t>
      </w:r>
      <w:proofErr w:type="spellEnd"/>
      <w:r w:rsidRPr="00672C0B">
        <w:rPr>
          <w:rFonts w:ascii="Arial" w:hAnsi="Arial" w:cs="Arial"/>
          <w:sz w:val="20"/>
          <w:szCs w:val="20"/>
        </w:rPr>
        <w:t>) the date of Settlement, or (ii) receipt by the Company if the Settlement is not performed by the Company.</w:t>
      </w:r>
    </w:p>
    <w:p w14:paraId="5B8E7638"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Track shipments of documents for recording.</w:t>
      </w:r>
    </w:p>
    <w:p w14:paraId="035A1C7D"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Ensure timely responses to recording rejections.</w:t>
      </w:r>
    </w:p>
    <w:p w14:paraId="3303883B"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Addressing rejected recordings to prevent unnecessary delay.</w:t>
      </w:r>
    </w:p>
    <w:p w14:paraId="298E0857"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Verify that recordation actually occurred and maintain a record of the recording information for the document(s).</w:t>
      </w:r>
    </w:p>
    <w:p w14:paraId="48E2C154" w14:textId="77777777" w:rsidR="00B3265E" w:rsidRPr="00672C0B" w:rsidRDefault="00B3265E" w:rsidP="00B3265E">
      <w:pPr>
        <w:pStyle w:val="ListParagraph"/>
        <w:numPr>
          <w:ilvl w:val="0"/>
          <w:numId w:val="3"/>
        </w:numPr>
        <w:rPr>
          <w:rFonts w:ascii="Arial" w:hAnsi="Arial" w:cs="Arial"/>
          <w:sz w:val="20"/>
          <w:szCs w:val="20"/>
        </w:rPr>
      </w:pPr>
      <w:r w:rsidRPr="00672C0B">
        <w:rPr>
          <w:rFonts w:ascii="Arial" w:hAnsi="Arial" w:cs="Arial"/>
          <w:sz w:val="20"/>
          <w:szCs w:val="20"/>
        </w:rPr>
        <w:t>Pricing procedures.</w:t>
      </w:r>
    </w:p>
    <w:p w14:paraId="3E1F978C" w14:textId="77777777" w:rsidR="00B3265E" w:rsidRPr="00672C0B" w:rsidRDefault="00B3265E" w:rsidP="00B3265E">
      <w:pPr>
        <w:pStyle w:val="ListParagraph"/>
        <w:numPr>
          <w:ilvl w:val="1"/>
          <w:numId w:val="3"/>
        </w:numPr>
        <w:rPr>
          <w:rFonts w:ascii="Arial" w:hAnsi="Arial" w:cs="Arial"/>
          <w:sz w:val="20"/>
          <w:szCs w:val="20"/>
        </w:rPr>
      </w:pPr>
      <w:r w:rsidRPr="00672C0B">
        <w:rPr>
          <w:rFonts w:ascii="Arial" w:hAnsi="Arial" w:cs="Arial"/>
          <w:sz w:val="20"/>
          <w:szCs w:val="20"/>
        </w:rPr>
        <w:t xml:space="preserve">Maintain written procedures to </w:t>
      </w:r>
      <w:r>
        <w:rPr>
          <w:rFonts w:ascii="Arial" w:hAnsi="Arial" w:cs="Arial"/>
          <w:sz w:val="20"/>
          <w:szCs w:val="20"/>
        </w:rPr>
        <w:t xml:space="preserve">help </w:t>
      </w:r>
      <w:r w:rsidRPr="00672C0B">
        <w:rPr>
          <w:rFonts w:ascii="Arial" w:hAnsi="Arial" w:cs="Arial"/>
          <w:sz w:val="20"/>
          <w:szCs w:val="20"/>
        </w:rPr>
        <w:t>ensure that customers are charged the correct title insurance premium and other rates for services provided by the Company.  These premiums and rates are determined by a mix of legal and contractual obligations.</w:t>
      </w:r>
    </w:p>
    <w:p w14:paraId="5D059C24"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 xml:space="preserve">Utilize rate manuals and online calculators, as appropriate, to </w:t>
      </w:r>
      <w:r>
        <w:rPr>
          <w:rFonts w:ascii="Arial" w:hAnsi="Arial" w:cs="Arial"/>
          <w:sz w:val="20"/>
          <w:szCs w:val="20"/>
        </w:rPr>
        <w:t xml:space="preserve">help </w:t>
      </w:r>
      <w:r w:rsidRPr="00672C0B">
        <w:rPr>
          <w:rFonts w:ascii="Arial" w:hAnsi="Arial" w:cs="Arial"/>
          <w:sz w:val="20"/>
          <w:szCs w:val="20"/>
        </w:rPr>
        <w:t>ensure correct fees are being charged for title insurance policy premiums, state-specific fees and endorsements.</w:t>
      </w:r>
    </w:p>
    <w:p w14:paraId="3B43F974"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Ensure discounted rates are calculated and charged when appropriate, including refinance or reissue rates.</w:t>
      </w:r>
    </w:p>
    <w:p w14:paraId="39C5B1F4" w14:textId="77777777" w:rsidR="00B3265E" w:rsidRPr="00672C0B"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lastRenderedPageBreak/>
        <w:t xml:space="preserve">Quality check files after Settlement to </w:t>
      </w:r>
      <w:r>
        <w:rPr>
          <w:rFonts w:ascii="Arial" w:hAnsi="Arial" w:cs="Arial"/>
          <w:sz w:val="20"/>
          <w:szCs w:val="20"/>
        </w:rPr>
        <w:t xml:space="preserve">help </w:t>
      </w:r>
      <w:r w:rsidRPr="00672C0B">
        <w:rPr>
          <w:rFonts w:ascii="Arial" w:hAnsi="Arial" w:cs="Arial"/>
          <w:sz w:val="20"/>
          <w:szCs w:val="20"/>
        </w:rPr>
        <w:t>ensure consumers were charged the company’s established rates.</w:t>
      </w:r>
    </w:p>
    <w:p w14:paraId="7048BD2C" w14:textId="77777777" w:rsidR="00B3265E" w:rsidRDefault="00B3265E" w:rsidP="00B3265E">
      <w:pPr>
        <w:pStyle w:val="ListParagraph"/>
        <w:numPr>
          <w:ilvl w:val="2"/>
          <w:numId w:val="3"/>
        </w:numPr>
        <w:rPr>
          <w:rFonts w:ascii="Arial" w:hAnsi="Arial" w:cs="Arial"/>
          <w:sz w:val="20"/>
          <w:szCs w:val="20"/>
        </w:rPr>
      </w:pPr>
      <w:r w:rsidRPr="00672C0B">
        <w:rPr>
          <w:rFonts w:ascii="Arial" w:hAnsi="Arial" w:cs="Arial"/>
          <w:sz w:val="20"/>
          <w:szCs w:val="20"/>
        </w:rPr>
        <w:t>Provide timely refunds to consumers when an overpayment is detected.</w:t>
      </w:r>
    </w:p>
    <w:p w14:paraId="318E3187" w14:textId="77777777" w:rsidR="005D0A08" w:rsidRPr="005D0A08" w:rsidRDefault="005D0A08" w:rsidP="005D0A08">
      <w:pPr>
        <w:rPr>
          <w:rFonts w:ascii="Arial" w:hAnsi="Arial" w:cs="Arial"/>
          <w:sz w:val="20"/>
          <w:szCs w:val="20"/>
        </w:rPr>
      </w:pPr>
      <w:r>
        <w:rPr>
          <w:rFonts w:ascii="Arial" w:hAnsi="Arial" w:cs="Arial"/>
          <w:noProof/>
          <w:sz w:val="20"/>
          <w:szCs w:val="20"/>
        </w:rPr>
        <mc:AlternateContent>
          <mc:Choice Requires="wps">
            <w:drawing>
              <wp:inline distT="0" distB="0" distL="0" distR="0" wp14:anchorId="44F95676" wp14:editId="2C76B8FF">
                <wp:extent cx="5829300" cy="2428875"/>
                <wp:effectExtent l="0" t="0" r="19050" b="28575"/>
                <wp:docPr id="6" name="Text Box 6"/>
                <wp:cNvGraphicFramePr/>
                <a:graphic xmlns:a="http://schemas.openxmlformats.org/drawingml/2006/main">
                  <a:graphicData uri="http://schemas.microsoft.com/office/word/2010/wordprocessingShape">
                    <wps:wsp>
                      <wps:cNvSpPr txBox="1"/>
                      <wps:spPr>
                        <a:xfrm>
                          <a:off x="0" y="0"/>
                          <a:ext cx="5829300" cy="2428875"/>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9C3E4E" w14:textId="22A04C89" w:rsidR="00B46753" w:rsidRPr="00B46753" w:rsidRDefault="00ED20E1" w:rsidP="00B46753">
                            <w:pPr>
                              <w:spacing w:after="0"/>
                              <w:rPr>
                                <w:b/>
                              </w:rPr>
                            </w:pPr>
                            <w:r>
                              <w:rPr>
                                <w:b/>
                              </w:rPr>
                              <w:t>The Title Exchange</w:t>
                            </w:r>
                            <w:r w:rsidR="00B46753" w:rsidRPr="00B46753">
                              <w:rPr>
                                <w:b/>
                              </w:rPr>
                              <w:t xml:space="preserve"> has adopted </w:t>
                            </w:r>
                            <w:r w:rsidR="00812ECE">
                              <w:rPr>
                                <w:b/>
                              </w:rPr>
                              <w:t>standard real estate settlement procedures and policies that help ensure compliance</w:t>
                            </w:r>
                            <w:r w:rsidR="00154960">
                              <w:rPr>
                                <w:b/>
                              </w:rPr>
                              <w:t xml:space="preserve"> with Federal and State Consumer Financial Laws as applicable to the settlement process.</w:t>
                            </w:r>
                          </w:p>
                          <w:p w14:paraId="540EECA8" w14:textId="74E8B609" w:rsidR="003C2D9E" w:rsidRDefault="00B46753" w:rsidP="003C2D9E">
                            <w:pPr>
                              <w:rPr>
                                <w:b/>
                                <w:i/>
                              </w:rPr>
                            </w:pPr>
                            <w:r w:rsidRPr="00B46753">
                              <w:rPr>
                                <w:b/>
                                <w:i/>
                              </w:rPr>
                              <w:t xml:space="preserve">Evidence of </w:t>
                            </w:r>
                            <w:r w:rsidR="00ED20E1">
                              <w:rPr>
                                <w:b/>
                                <w:i/>
                              </w:rPr>
                              <w:t>The Title Exchange’s</w:t>
                            </w:r>
                            <w:r w:rsidR="00154960">
                              <w:rPr>
                                <w:b/>
                                <w:i/>
                              </w:rPr>
                              <w:t xml:space="preserve"> compliance with Best Practice 4 can be found in Appendix 4</w:t>
                            </w:r>
                            <w:r w:rsidRPr="00B46753">
                              <w:rPr>
                                <w:b/>
                                <w:i/>
                              </w:rPr>
                              <w:t>.</w:t>
                            </w:r>
                          </w:p>
                          <w:p w14:paraId="5B99DD52" w14:textId="77777777" w:rsidR="003C2D9E" w:rsidRDefault="003C2D9E" w:rsidP="003C2D9E">
                            <w:pPr>
                              <w:spacing w:after="0"/>
                              <w:ind w:left="720"/>
                              <w:rPr>
                                <w:b/>
                              </w:rPr>
                            </w:pPr>
                            <w:r>
                              <w:rPr>
                                <w:b/>
                              </w:rPr>
                              <w:t>Sections:</w:t>
                            </w:r>
                          </w:p>
                          <w:p w14:paraId="38CC6908" w14:textId="1FFF6D88" w:rsidR="003C2D9E" w:rsidRDefault="00ED20E1" w:rsidP="003C2D9E">
                            <w:pPr>
                              <w:pStyle w:val="ListParagraph"/>
                              <w:numPr>
                                <w:ilvl w:val="0"/>
                                <w:numId w:val="16"/>
                              </w:numPr>
                              <w:spacing w:after="0"/>
                            </w:pPr>
                            <w:r>
                              <w:t>The Title Exchange</w:t>
                            </w:r>
                            <w:r w:rsidR="003C2D9E">
                              <w:t xml:space="preserve"> requires closing employees to submit documents for recording within tw</w:t>
                            </w:r>
                            <w:r w:rsidR="00154960">
                              <w:t>o business days of disbursement and tracks documents sent for recording.</w:t>
                            </w:r>
                          </w:p>
                          <w:p w14:paraId="14E6345F" w14:textId="008E5DEF" w:rsidR="003C2D9E" w:rsidRPr="003C2D9E" w:rsidRDefault="00154960" w:rsidP="003C2D9E">
                            <w:pPr>
                              <w:pStyle w:val="ListParagraph"/>
                              <w:numPr>
                                <w:ilvl w:val="0"/>
                                <w:numId w:val="16"/>
                              </w:numPr>
                              <w:spacing w:after="0"/>
                            </w:pPr>
                            <w:r>
                              <w:t xml:space="preserve">The </w:t>
                            </w:r>
                            <w:r w:rsidR="00ED20E1">
                              <w:t xml:space="preserve">Title Exchange </w:t>
                            </w:r>
                            <w:r>
                              <w:t xml:space="preserve">maintains published rates on our website, </w:t>
                            </w:r>
                            <w:r w:rsidRPr="00154960">
                              <w:t>www.</w:t>
                            </w:r>
                            <w:r w:rsidR="00ED20E1">
                              <w:t>thetitlex.com</w:t>
                            </w:r>
                            <w:r>
                              <w:t xml:space="preserve">, </w:t>
                            </w:r>
                            <w:r w:rsidR="00ED20E1">
                              <w:t xml:space="preserve">on a paper, </w:t>
                            </w:r>
                            <w:r>
                              <w:t>as well as on its company intranet to ensure consumers are charged the appropriate premiums.</w:t>
                            </w:r>
                          </w:p>
                          <w:p w14:paraId="5E73D988" w14:textId="77777777" w:rsidR="003C2D9E" w:rsidRPr="003C2D9E" w:rsidRDefault="003C2D9E" w:rsidP="003C2D9E">
                            <w:pPr>
                              <w:ind w:left="720"/>
                              <w:rPr>
                                <w:b/>
                              </w:rPr>
                            </w:pPr>
                          </w:p>
                          <w:p w14:paraId="1D6D1904" w14:textId="77777777" w:rsidR="005D0A08" w:rsidRDefault="005D0A08" w:rsidP="005D0A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4F95676" id="Text Box 6" o:spid="_x0000_s1032" type="#_x0000_t202" style="width:459pt;height:19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" fillcolor="#f2f2f2 [3052]" strokeweight=".5pt">
                <v:textbox>
                  <w:txbxContent>
                    <w:p w14:paraId="1B9C3E4E" w14:textId="22A04C89" w:rsidR="00B46753" w:rsidRPr="00B46753" w:rsidRDefault="00ED20E1" w:rsidP="00B46753">
                      <w:pPr>
                        <w:spacing w:after="0"/>
                        <w:rPr>
                          <w:b/>
                        </w:rPr>
                      </w:pPr>
                      <w:r>
                        <w:rPr>
                          <w:b/>
                        </w:rPr>
                        <w:t>The Title Exchange</w:t>
                      </w:r>
                      <w:r w:rsidR="00B46753" w:rsidRPr="00B46753">
                        <w:rPr>
                          <w:b/>
                        </w:rPr>
                        <w:t xml:space="preserve"> has adopted </w:t>
                      </w:r>
                      <w:r w:rsidR="00812ECE">
                        <w:rPr>
                          <w:b/>
                        </w:rPr>
                        <w:t>standard real estate settlement procedures and policies that help ensure compliance</w:t>
                      </w:r>
                      <w:r w:rsidR="00154960">
                        <w:rPr>
                          <w:b/>
                        </w:rPr>
                        <w:t xml:space="preserve"> with Federal and State Consumer Financial Laws as applicable to the settlement process.</w:t>
                      </w:r>
                    </w:p>
                    <w:p w14:paraId="540EECA8" w14:textId="74E8B609" w:rsidR="003C2D9E" w:rsidRDefault="00B46753" w:rsidP="003C2D9E">
                      <w:pPr>
                        <w:rPr>
                          <w:b/>
                          <w:i/>
                        </w:rPr>
                      </w:pPr>
                      <w:r w:rsidRPr="00B46753">
                        <w:rPr>
                          <w:b/>
                          <w:i/>
                        </w:rPr>
                        <w:t xml:space="preserve">Evidence of </w:t>
                      </w:r>
                      <w:r w:rsidR="00ED20E1">
                        <w:rPr>
                          <w:b/>
                          <w:i/>
                        </w:rPr>
                        <w:t>The Title Exchange’s</w:t>
                      </w:r>
                      <w:r w:rsidR="00154960">
                        <w:rPr>
                          <w:b/>
                          <w:i/>
                        </w:rPr>
                        <w:t xml:space="preserve"> compliance with Best Practice 4 can be found in Appendix 4</w:t>
                      </w:r>
                      <w:r w:rsidRPr="00B46753">
                        <w:rPr>
                          <w:b/>
                          <w:i/>
                        </w:rPr>
                        <w:t>.</w:t>
                      </w:r>
                    </w:p>
                    <w:p w14:paraId="5B99DD52" w14:textId="77777777" w:rsidR="003C2D9E" w:rsidRDefault="003C2D9E" w:rsidP="003C2D9E">
                      <w:pPr>
                        <w:spacing w:after="0"/>
                        <w:ind w:left="720"/>
                        <w:rPr>
                          <w:b/>
                        </w:rPr>
                      </w:pPr>
                      <w:r>
                        <w:rPr>
                          <w:b/>
                        </w:rPr>
                        <w:t>Sections:</w:t>
                      </w:r>
                    </w:p>
                    <w:p w14:paraId="38CC6908" w14:textId="1FFF6D88" w:rsidR="003C2D9E" w:rsidRDefault="00ED20E1" w:rsidP="003C2D9E">
                      <w:pPr>
                        <w:pStyle w:val="ListParagraph"/>
                        <w:numPr>
                          <w:ilvl w:val="0"/>
                          <w:numId w:val="16"/>
                        </w:numPr>
                        <w:spacing w:after="0"/>
                      </w:pPr>
                      <w:r>
                        <w:t>The Title Exchange</w:t>
                      </w:r>
                      <w:r w:rsidR="003C2D9E">
                        <w:t xml:space="preserve"> requires closing employees to submit documents for recording within tw</w:t>
                      </w:r>
                      <w:r w:rsidR="00154960">
                        <w:t>o business days of disbursement and tracks documents sent for recording.</w:t>
                      </w:r>
                    </w:p>
                    <w:p w14:paraId="14E6345F" w14:textId="008E5DEF" w:rsidR="003C2D9E" w:rsidRPr="003C2D9E" w:rsidRDefault="00154960" w:rsidP="003C2D9E">
                      <w:pPr>
                        <w:pStyle w:val="ListParagraph"/>
                        <w:numPr>
                          <w:ilvl w:val="0"/>
                          <w:numId w:val="16"/>
                        </w:numPr>
                        <w:spacing w:after="0"/>
                      </w:pPr>
                      <w:r>
                        <w:t xml:space="preserve">The </w:t>
                      </w:r>
                      <w:r w:rsidR="00ED20E1">
                        <w:t xml:space="preserve">Title Exchange </w:t>
                      </w:r>
                      <w:r>
                        <w:t xml:space="preserve">maintains published rates on our website, </w:t>
                      </w:r>
                      <w:r w:rsidRPr="00154960">
                        <w:t>www.</w:t>
                      </w:r>
                      <w:r w:rsidR="00ED20E1">
                        <w:t>thetitlex.com</w:t>
                      </w:r>
                      <w:r>
                        <w:t xml:space="preserve">, </w:t>
                      </w:r>
                      <w:r w:rsidR="00ED20E1">
                        <w:t xml:space="preserve">on a paper, </w:t>
                      </w:r>
                      <w:r>
                        <w:t>as well as on its company intranet to ensure consumers are charged the appropriate premiums.</w:t>
                      </w:r>
                    </w:p>
                    <w:p w14:paraId="5E73D988" w14:textId="77777777" w:rsidR="003C2D9E" w:rsidRPr="003C2D9E" w:rsidRDefault="003C2D9E" w:rsidP="003C2D9E">
                      <w:pPr>
                        <w:ind w:left="720"/>
                        <w:rPr>
                          <w:b/>
                        </w:rPr>
                      </w:pPr>
                    </w:p>
                    <w:p w14:paraId="1D6D1904" w14:textId="77777777" w:rsidR="005D0A08" w:rsidRDefault="005D0A08" w:rsidP="005D0A08"/>
                  </w:txbxContent>
                </v:textbox>
                <w10:anchorlock/>
              </v:shape>
            </w:pict>
          </mc:Fallback>
        </mc:AlternateContent>
      </w:r>
    </w:p>
    <w:p w14:paraId="370EDB4A" w14:textId="77777777" w:rsidR="00B3265E" w:rsidRPr="00672C0B" w:rsidRDefault="00B3265E" w:rsidP="00B3265E">
      <w:pPr>
        <w:pStyle w:val="ListParagraph"/>
        <w:rPr>
          <w:rFonts w:ascii="Arial" w:hAnsi="Arial" w:cs="Arial"/>
          <w:b/>
          <w:sz w:val="20"/>
          <w:szCs w:val="20"/>
        </w:rPr>
      </w:pPr>
    </w:p>
    <w:p w14:paraId="4FFF7827" w14:textId="77777777" w:rsidR="00B3265E" w:rsidRPr="00672C0B" w:rsidRDefault="00B3265E" w:rsidP="00B3265E">
      <w:pPr>
        <w:pStyle w:val="ListParagraph"/>
        <w:numPr>
          <w:ilvl w:val="0"/>
          <w:numId w:val="8"/>
        </w:numPr>
        <w:rPr>
          <w:rFonts w:ascii="Arial" w:hAnsi="Arial" w:cs="Arial"/>
          <w:b/>
          <w:sz w:val="20"/>
          <w:szCs w:val="20"/>
        </w:rPr>
      </w:pPr>
      <w:r w:rsidRPr="00672C0B">
        <w:rPr>
          <w:rFonts w:ascii="Arial" w:hAnsi="Arial" w:cs="Arial"/>
          <w:b/>
          <w:sz w:val="20"/>
          <w:szCs w:val="20"/>
        </w:rPr>
        <w:t>Best Practice: Adopt and maintain written procedures related to title policy production, delivery, reporting and premium remittance.</w:t>
      </w:r>
    </w:p>
    <w:p w14:paraId="16B15AF2"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A</w:t>
      </w:r>
      <w:r>
        <w:rPr>
          <w:rFonts w:ascii="Arial" w:hAnsi="Arial" w:cs="Arial"/>
          <w:sz w:val="20"/>
          <w:szCs w:val="20"/>
        </w:rPr>
        <w:t>dopting a</w:t>
      </w:r>
      <w:r w:rsidRPr="00672C0B">
        <w:rPr>
          <w:rFonts w:ascii="Arial" w:hAnsi="Arial" w:cs="Arial"/>
          <w:sz w:val="20"/>
          <w:szCs w:val="20"/>
        </w:rPr>
        <w:t>ppropriate procedures for the production, delivery</w:t>
      </w:r>
      <w:r>
        <w:rPr>
          <w:rFonts w:ascii="Arial" w:hAnsi="Arial" w:cs="Arial"/>
          <w:sz w:val="20"/>
          <w:szCs w:val="20"/>
        </w:rPr>
        <w:t>,</w:t>
      </w:r>
      <w:r w:rsidRPr="00672C0B">
        <w:rPr>
          <w:rFonts w:ascii="Arial" w:hAnsi="Arial" w:cs="Arial"/>
          <w:sz w:val="20"/>
          <w:szCs w:val="20"/>
        </w:rPr>
        <w:t xml:space="preserve"> and remittance of title insurance policies </w:t>
      </w:r>
      <w:r>
        <w:rPr>
          <w:rFonts w:ascii="Arial" w:hAnsi="Arial" w:cs="Arial"/>
          <w:sz w:val="20"/>
          <w:szCs w:val="20"/>
        </w:rPr>
        <w:t xml:space="preserve">helps ensure </w:t>
      </w:r>
      <w:r w:rsidRPr="00672C0B">
        <w:rPr>
          <w:rFonts w:ascii="Arial" w:hAnsi="Arial" w:cs="Arial"/>
          <w:sz w:val="20"/>
          <w:szCs w:val="20"/>
        </w:rPr>
        <w:t xml:space="preserve">title companies </w:t>
      </w:r>
      <w:r>
        <w:rPr>
          <w:rFonts w:ascii="Arial" w:hAnsi="Arial" w:cs="Arial"/>
          <w:sz w:val="20"/>
          <w:szCs w:val="20"/>
        </w:rPr>
        <w:t xml:space="preserve">can </w:t>
      </w:r>
      <w:r w:rsidRPr="00672C0B">
        <w:rPr>
          <w:rFonts w:ascii="Arial" w:hAnsi="Arial" w:cs="Arial"/>
          <w:sz w:val="20"/>
          <w:szCs w:val="20"/>
        </w:rPr>
        <w:t>meet their legal and contractual obligations.</w:t>
      </w:r>
    </w:p>
    <w:p w14:paraId="2CFAA32C" w14:textId="77777777" w:rsidR="00B3265E" w:rsidRPr="00672C0B" w:rsidRDefault="00B3265E" w:rsidP="00B3265E">
      <w:pPr>
        <w:rPr>
          <w:rFonts w:ascii="Arial" w:hAnsi="Arial" w:cs="Arial"/>
          <w:sz w:val="20"/>
          <w:szCs w:val="20"/>
        </w:rPr>
      </w:pPr>
      <w:r w:rsidRPr="00672C0B">
        <w:rPr>
          <w:rFonts w:ascii="Arial" w:hAnsi="Arial" w:cs="Arial"/>
          <w:sz w:val="20"/>
          <w:szCs w:val="20"/>
        </w:rPr>
        <w:t>Procedures to meet this best practice:</w:t>
      </w:r>
    </w:p>
    <w:p w14:paraId="26529DBC" w14:textId="77777777" w:rsidR="00B3265E" w:rsidRPr="00672C0B" w:rsidRDefault="00B3265E" w:rsidP="00B3265E">
      <w:pPr>
        <w:pStyle w:val="ListParagraph"/>
        <w:numPr>
          <w:ilvl w:val="0"/>
          <w:numId w:val="4"/>
        </w:numPr>
        <w:rPr>
          <w:rFonts w:ascii="Arial" w:hAnsi="Arial" w:cs="Arial"/>
          <w:sz w:val="20"/>
          <w:szCs w:val="20"/>
        </w:rPr>
      </w:pPr>
      <w:r w:rsidRPr="00672C0B">
        <w:rPr>
          <w:rFonts w:ascii="Arial" w:hAnsi="Arial" w:cs="Arial"/>
          <w:sz w:val="20"/>
          <w:szCs w:val="20"/>
        </w:rPr>
        <w:t>Title policy production and delivery.</w:t>
      </w:r>
    </w:p>
    <w:p w14:paraId="4A7A0B77" w14:textId="77777777" w:rsidR="00B3265E" w:rsidRPr="00672C0B" w:rsidRDefault="00B3265E" w:rsidP="00B3265E">
      <w:pPr>
        <w:pStyle w:val="ListParagraph"/>
        <w:numPr>
          <w:ilvl w:val="1"/>
          <w:numId w:val="4"/>
        </w:numPr>
        <w:rPr>
          <w:rFonts w:ascii="Arial" w:hAnsi="Arial" w:cs="Arial"/>
          <w:sz w:val="20"/>
          <w:szCs w:val="20"/>
        </w:rPr>
      </w:pPr>
      <w:r w:rsidRPr="00672C0B">
        <w:rPr>
          <w:rFonts w:ascii="Arial" w:hAnsi="Arial" w:cs="Arial"/>
          <w:sz w:val="20"/>
          <w:szCs w:val="20"/>
        </w:rPr>
        <w:t xml:space="preserve">Title insurance policies are issued and delivered to customers in a timely manner to meet statutory, regulatory or contractual obligations. </w:t>
      </w:r>
    </w:p>
    <w:p w14:paraId="4716A9B9" w14:textId="77777777" w:rsidR="00B3265E" w:rsidRPr="00672C0B" w:rsidRDefault="00B3265E" w:rsidP="00B3265E">
      <w:pPr>
        <w:pStyle w:val="ListParagraph"/>
        <w:numPr>
          <w:ilvl w:val="2"/>
          <w:numId w:val="4"/>
        </w:numPr>
        <w:rPr>
          <w:rFonts w:ascii="Arial" w:hAnsi="Arial" w:cs="Arial"/>
          <w:sz w:val="20"/>
          <w:szCs w:val="20"/>
        </w:rPr>
      </w:pPr>
      <w:r w:rsidRPr="00672C0B">
        <w:rPr>
          <w:rFonts w:ascii="Arial" w:hAnsi="Arial" w:cs="Arial"/>
          <w:sz w:val="20"/>
          <w:szCs w:val="20"/>
        </w:rPr>
        <w:t>Issue and deliver policies within thirty days of the later of (</w:t>
      </w:r>
      <w:proofErr w:type="spellStart"/>
      <w:r w:rsidRPr="00672C0B">
        <w:rPr>
          <w:rFonts w:ascii="Arial" w:hAnsi="Arial" w:cs="Arial"/>
          <w:sz w:val="20"/>
          <w:szCs w:val="20"/>
        </w:rPr>
        <w:t>i</w:t>
      </w:r>
      <w:proofErr w:type="spellEnd"/>
      <w:r w:rsidRPr="00672C0B">
        <w:rPr>
          <w:rFonts w:ascii="Arial" w:hAnsi="Arial" w:cs="Arial"/>
          <w:sz w:val="20"/>
          <w:szCs w:val="20"/>
        </w:rPr>
        <w:t>) the date of Settlement, or (ii) the date that the terms and conditions of title insurance commitment are satisfied.</w:t>
      </w:r>
    </w:p>
    <w:p w14:paraId="4B7A01B6" w14:textId="77777777" w:rsidR="00B3265E" w:rsidRPr="00672C0B" w:rsidRDefault="00B3265E" w:rsidP="00B3265E">
      <w:pPr>
        <w:pStyle w:val="ListParagraph"/>
        <w:numPr>
          <w:ilvl w:val="0"/>
          <w:numId w:val="4"/>
        </w:numPr>
        <w:rPr>
          <w:rFonts w:ascii="Arial" w:hAnsi="Arial" w:cs="Arial"/>
          <w:sz w:val="20"/>
          <w:szCs w:val="20"/>
        </w:rPr>
      </w:pPr>
      <w:r w:rsidRPr="00672C0B">
        <w:rPr>
          <w:rFonts w:ascii="Arial" w:hAnsi="Arial" w:cs="Arial"/>
          <w:sz w:val="20"/>
          <w:szCs w:val="20"/>
        </w:rPr>
        <w:t>Premium reporting and remittance.</w:t>
      </w:r>
    </w:p>
    <w:p w14:paraId="22A0855A" w14:textId="77777777" w:rsidR="00B3265E" w:rsidRPr="00672C0B" w:rsidRDefault="00B3265E" w:rsidP="00B3265E">
      <w:pPr>
        <w:pStyle w:val="ListParagraph"/>
        <w:numPr>
          <w:ilvl w:val="1"/>
          <w:numId w:val="4"/>
        </w:numPr>
        <w:rPr>
          <w:rFonts w:ascii="Arial" w:hAnsi="Arial" w:cs="Arial"/>
          <w:sz w:val="20"/>
          <w:szCs w:val="20"/>
        </w:rPr>
      </w:pPr>
      <w:r w:rsidRPr="00672C0B">
        <w:rPr>
          <w:rFonts w:ascii="Arial" w:hAnsi="Arial" w:cs="Arial"/>
          <w:sz w:val="20"/>
          <w:szCs w:val="20"/>
        </w:rPr>
        <w:t>Title insurance policies are reported and premiums are remitted to the underwriter in a timely manner to meet statutory, regulatory or contractual obligations.</w:t>
      </w:r>
    </w:p>
    <w:p w14:paraId="03288632" w14:textId="77777777" w:rsidR="00B3265E" w:rsidRPr="00672C0B" w:rsidRDefault="00B3265E" w:rsidP="00B3265E">
      <w:pPr>
        <w:pStyle w:val="ListParagraph"/>
        <w:numPr>
          <w:ilvl w:val="2"/>
          <w:numId w:val="4"/>
        </w:numPr>
        <w:rPr>
          <w:rFonts w:ascii="Arial" w:hAnsi="Arial" w:cs="Arial"/>
          <w:sz w:val="20"/>
          <w:szCs w:val="20"/>
        </w:rPr>
      </w:pPr>
      <w:r w:rsidRPr="00672C0B">
        <w:rPr>
          <w:rFonts w:ascii="Arial" w:hAnsi="Arial" w:cs="Arial"/>
          <w:sz w:val="20"/>
          <w:szCs w:val="20"/>
        </w:rPr>
        <w:t>Report policies (including a copy of the policy) to underwriter by the last day of the month following the month in which the insured transaction was settled.</w:t>
      </w:r>
    </w:p>
    <w:p w14:paraId="44B0DDFE" w14:textId="77777777" w:rsidR="00B3265E" w:rsidRDefault="00B3265E" w:rsidP="00B3265E">
      <w:pPr>
        <w:pStyle w:val="ListParagraph"/>
        <w:numPr>
          <w:ilvl w:val="2"/>
          <w:numId w:val="4"/>
        </w:numPr>
        <w:rPr>
          <w:rFonts w:ascii="Arial" w:hAnsi="Arial" w:cs="Arial"/>
          <w:sz w:val="20"/>
          <w:szCs w:val="20"/>
        </w:rPr>
      </w:pPr>
      <w:r w:rsidRPr="00672C0B">
        <w:rPr>
          <w:rFonts w:ascii="Arial" w:hAnsi="Arial" w:cs="Arial"/>
          <w:sz w:val="20"/>
          <w:szCs w:val="20"/>
        </w:rPr>
        <w:t>Remit premiums to underwriter by the last day of the month following the month in which the insured transaction was settled.</w:t>
      </w:r>
    </w:p>
    <w:p w14:paraId="50412B19" w14:textId="77777777" w:rsidR="00B3265E" w:rsidRDefault="005D0A08" w:rsidP="005D0A08">
      <w:pPr>
        <w:rPr>
          <w:rFonts w:ascii="Arial" w:hAnsi="Arial" w:cs="Arial"/>
          <w:sz w:val="20"/>
          <w:szCs w:val="20"/>
        </w:rPr>
      </w:pPr>
      <w:r>
        <w:rPr>
          <w:rFonts w:ascii="Arial" w:hAnsi="Arial" w:cs="Arial"/>
          <w:noProof/>
          <w:sz w:val="20"/>
          <w:szCs w:val="20"/>
        </w:rPr>
        <w:lastRenderedPageBreak/>
        <mc:AlternateContent>
          <mc:Choice Requires="wps">
            <w:drawing>
              <wp:inline distT="0" distB="0" distL="0" distR="0" wp14:anchorId="61A3D717" wp14:editId="7BC254A6">
                <wp:extent cx="5829300" cy="2164080"/>
                <wp:effectExtent l="0" t="0" r="19050" b="26670"/>
                <wp:docPr id="7" name="Text Box 7"/>
                <wp:cNvGraphicFramePr/>
                <a:graphic xmlns:a="http://schemas.openxmlformats.org/drawingml/2006/main">
                  <a:graphicData uri="http://schemas.microsoft.com/office/word/2010/wordprocessingShape">
                    <wps:wsp>
                      <wps:cNvSpPr txBox="1"/>
                      <wps:spPr>
                        <a:xfrm>
                          <a:off x="0" y="0"/>
                          <a:ext cx="5829300" cy="2164080"/>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5A4368C" w14:textId="2C51707F" w:rsidR="00154960" w:rsidRPr="00B46753" w:rsidRDefault="007E7FF8" w:rsidP="00154960">
                            <w:pPr>
                              <w:spacing w:after="0"/>
                              <w:rPr>
                                <w:b/>
                              </w:rPr>
                            </w:pPr>
                            <w:r>
                              <w:rPr>
                                <w:b/>
                              </w:rPr>
                              <w:t>The Title Exchange</w:t>
                            </w:r>
                            <w:r w:rsidR="00154960" w:rsidRPr="00B46753">
                              <w:rPr>
                                <w:b/>
                              </w:rPr>
                              <w:t xml:space="preserve"> has adopted </w:t>
                            </w:r>
                            <w:r w:rsidR="00154960">
                              <w:rPr>
                                <w:b/>
                              </w:rPr>
                              <w:t>and maintains written procedures related to title policy production, delivery and reporting, and premium remittance as required by statute, regulation, or contract.</w:t>
                            </w:r>
                          </w:p>
                          <w:p w14:paraId="77CD6CB3" w14:textId="68DB8F22" w:rsidR="00154960" w:rsidRDefault="00154960" w:rsidP="00154960">
                            <w:pPr>
                              <w:rPr>
                                <w:b/>
                                <w:i/>
                              </w:rPr>
                            </w:pPr>
                            <w:r w:rsidRPr="00B46753">
                              <w:rPr>
                                <w:b/>
                                <w:i/>
                              </w:rPr>
                              <w:t xml:space="preserve">Evidence of </w:t>
                            </w:r>
                            <w:r w:rsidR="007E7FF8">
                              <w:rPr>
                                <w:b/>
                                <w:i/>
                              </w:rPr>
                              <w:t>The Title Exchange’s</w:t>
                            </w:r>
                            <w:r>
                              <w:rPr>
                                <w:b/>
                                <w:i/>
                              </w:rPr>
                              <w:t xml:space="preserve"> compliance with Best Practice 5 can be found in Appendix 5</w:t>
                            </w:r>
                            <w:r w:rsidRPr="00B46753">
                              <w:rPr>
                                <w:b/>
                                <w:i/>
                              </w:rPr>
                              <w:t>.</w:t>
                            </w:r>
                          </w:p>
                          <w:p w14:paraId="1ED0190C" w14:textId="77777777" w:rsidR="00154960" w:rsidRDefault="00154960" w:rsidP="00154960">
                            <w:pPr>
                              <w:spacing w:after="0"/>
                              <w:ind w:left="720"/>
                              <w:rPr>
                                <w:b/>
                              </w:rPr>
                            </w:pPr>
                            <w:r>
                              <w:rPr>
                                <w:b/>
                              </w:rPr>
                              <w:t>Sections:</w:t>
                            </w:r>
                          </w:p>
                          <w:p w14:paraId="305DAB51" w14:textId="3175E618" w:rsidR="005D0A08" w:rsidRDefault="007E7FF8" w:rsidP="00154960">
                            <w:pPr>
                              <w:pStyle w:val="ListParagraph"/>
                              <w:numPr>
                                <w:ilvl w:val="0"/>
                                <w:numId w:val="17"/>
                              </w:numPr>
                              <w:spacing w:after="0"/>
                            </w:pPr>
                            <w:r>
                              <w:t>The Title Exchange</w:t>
                            </w:r>
                            <w:r w:rsidR="00154960">
                              <w:t xml:space="preserve"> ensures timely delivery of final title policies, often electronically.</w:t>
                            </w:r>
                          </w:p>
                          <w:p w14:paraId="1482009F" w14:textId="77777777" w:rsidR="00154960" w:rsidRDefault="00045F53" w:rsidP="00154960">
                            <w:pPr>
                              <w:pStyle w:val="ListParagraph"/>
                              <w:numPr>
                                <w:ilvl w:val="0"/>
                                <w:numId w:val="17"/>
                              </w:numPr>
                              <w:spacing w:after="0"/>
                            </w:pPr>
                            <w:r>
                              <w:t>The company submits policies and remits payments on said policies to its underwriter in a timely manner to meet statutory, regulatory, and contractual obligations.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1A3D717" id="Text Box 7" o:spid="_x0000_s1033" type="#_x0000_t202" style="width:459pt;height:17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" fillcolor="#f2f2f2 [3052]" strokeweight=".5pt">
                <v:textbox>
                  <w:txbxContent>
                    <w:p w14:paraId="35A4368C" w14:textId="2C51707F" w:rsidR="00154960" w:rsidRPr="00B46753" w:rsidRDefault="007E7FF8" w:rsidP="00154960">
                      <w:pPr>
                        <w:spacing w:after="0"/>
                        <w:rPr>
                          <w:b/>
                        </w:rPr>
                      </w:pPr>
                      <w:r>
                        <w:rPr>
                          <w:b/>
                        </w:rPr>
                        <w:t>The Title Exchange</w:t>
                      </w:r>
                      <w:r w:rsidR="00154960" w:rsidRPr="00B46753">
                        <w:rPr>
                          <w:b/>
                        </w:rPr>
                        <w:t xml:space="preserve"> has adopted </w:t>
                      </w:r>
                      <w:r w:rsidR="00154960">
                        <w:rPr>
                          <w:b/>
                        </w:rPr>
                        <w:t>and maintains written procedures related to title policy production, delivery and reporting, and premium remittance as required by statute, regulation, or contract.</w:t>
                      </w:r>
                    </w:p>
                    <w:p w14:paraId="77CD6CB3" w14:textId="68DB8F22" w:rsidR="00154960" w:rsidRDefault="00154960" w:rsidP="00154960">
                      <w:pPr>
                        <w:rPr>
                          <w:b/>
                          <w:i/>
                        </w:rPr>
                      </w:pPr>
                      <w:r w:rsidRPr="00B46753">
                        <w:rPr>
                          <w:b/>
                          <w:i/>
                        </w:rPr>
                        <w:t xml:space="preserve">Evidence of </w:t>
                      </w:r>
                      <w:r w:rsidR="007E7FF8">
                        <w:rPr>
                          <w:b/>
                          <w:i/>
                        </w:rPr>
                        <w:t>The Title Exchange’s</w:t>
                      </w:r>
                      <w:r>
                        <w:rPr>
                          <w:b/>
                          <w:i/>
                        </w:rPr>
                        <w:t xml:space="preserve"> compliance with Best Practice 5 can be found in Appendix 5</w:t>
                      </w:r>
                      <w:r w:rsidRPr="00B46753">
                        <w:rPr>
                          <w:b/>
                          <w:i/>
                        </w:rPr>
                        <w:t>.</w:t>
                      </w:r>
                    </w:p>
                    <w:p w14:paraId="1ED0190C" w14:textId="77777777" w:rsidR="00154960" w:rsidRDefault="00154960" w:rsidP="00154960">
                      <w:pPr>
                        <w:spacing w:after="0"/>
                        <w:ind w:left="720"/>
                        <w:rPr>
                          <w:b/>
                        </w:rPr>
                      </w:pPr>
                      <w:r>
                        <w:rPr>
                          <w:b/>
                        </w:rPr>
                        <w:t>Sections:</w:t>
                      </w:r>
                    </w:p>
                    <w:p w14:paraId="305DAB51" w14:textId="3175E618" w:rsidR="005D0A08" w:rsidRDefault="007E7FF8" w:rsidP="00154960">
                      <w:pPr>
                        <w:pStyle w:val="ListParagraph"/>
                        <w:numPr>
                          <w:ilvl w:val="0"/>
                          <w:numId w:val="17"/>
                        </w:numPr>
                        <w:spacing w:after="0"/>
                      </w:pPr>
                      <w:r>
                        <w:t>The Title Exchange</w:t>
                      </w:r>
                      <w:r w:rsidR="00154960">
                        <w:t xml:space="preserve"> ensures timely delivery of final title policies, often electronically.</w:t>
                      </w:r>
                    </w:p>
                    <w:p w14:paraId="1482009F" w14:textId="77777777" w:rsidR="00154960" w:rsidRDefault="00045F53" w:rsidP="00154960">
                      <w:pPr>
                        <w:pStyle w:val="ListParagraph"/>
                        <w:numPr>
                          <w:ilvl w:val="0"/>
                          <w:numId w:val="17"/>
                        </w:numPr>
                        <w:spacing w:after="0"/>
                      </w:pPr>
                      <w:r>
                        <w:t>The company submits policies and remits payments on said policies to its underwriter in a timely manner to meet statutory, regulatory, and contractual obligations.</w:t>
                      </w:r>
                    </w:p>
                  </w:txbxContent>
                </v:textbox>
                <w10:anchorlock/>
              </v:shape>
            </w:pict>
          </mc:Fallback>
        </mc:AlternateContent>
      </w:r>
    </w:p>
    <w:p w14:paraId="6F1F360C" w14:textId="77777777" w:rsidR="005D0A08" w:rsidRPr="005D0A08" w:rsidRDefault="005D0A08" w:rsidP="005D0A08">
      <w:pPr>
        <w:rPr>
          <w:rFonts w:ascii="Arial" w:hAnsi="Arial" w:cs="Arial"/>
          <w:sz w:val="20"/>
          <w:szCs w:val="20"/>
        </w:rPr>
      </w:pPr>
    </w:p>
    <w:p w14:paraId="1B694DA4" w14:textId="77777777" w:rsidR="00B3265E" w:rsidRPr="00672C0B" w:rsidRDefault="00B3265E" w:rsidP="00B3265E">
      <w:pPr>
        <w:numPr>
          <w:ilvl w:val="0"/>
          <w:numId w:val="10"/>
        </w:numPr>
        <w:contextualSpacing/>
        <w:rPr>
          <w:rFonts w:ascii="Arial" w:hAnsi="Arial" w:cs="Arial"/>
          <w:b/>
          <w:sz w:val="20"/>
          <w:szCs w:val="20"/>
        </w:rPr>
      </w:pPr>
      <w:r w:rsidRPr="00672C0B">
        <w:rPr>
          <w:rFonts w:ascii="Arial" w:hAnsi="Arial" w:cs="Arial"/>
          <w:b/>
          <w:sz w:val="20"/>
          <w:szCs w:val="20"/>
        </w:rPr>
        <w:t>Best Practice: Maintain appropriate professional liability insurance and fidelity coverage.</w:t>
      </w:r>
    </w:p>
    <w:p w14:paraId="31D459FB" w14:textId="77777777" w:rsidR="00B3265E" w:rsidRPr="00672C0B" w:rsidRDefault="00B3265E" w:rsidP="00B3265E">
      <w:pPr>
        <w:ind w:left="720"/>
        <w:contextualSpacing/>
        <w:rPr>
          <w:rFonts w:ascii="Arial" w:hAnsi="Arial" w:cs="Arial"/>
          <w:b/>
          <w:sz w:val="20"/>
          <w:szCs w:val="20"/>
        </w:rPr>
      </w:pPr>
    </w:p>
    <w:p w14:paraId="3A8CBE03"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 xml:space="preserve">Appropriate levels of professional liability insurance or errors and omissions insurance </w:t>
      </w:r>
      <w:r>
        <w:rPr>
          <w:rFonts w:ascii="Arial" w:hAnsi="Arial" w:cs="Arial"/>
          <w:sz w:val="20"/>
          <w:szCs w:val="20"/>
        </w:rPr>
        <w:t xml:space="preserve">help ensure </w:t>
      </w:r>
      <w:r w:rsidRPr="00672C0B">
        <w:rPr>
          <w:rFonts w:ascii="Arial" w:hAnsi="Arial" w:cs="Arial"/>
          <w:sz w:val="20"/>
          <w:szCs w:val="20"/>
        </w:rPr>
        <w:t xml:space="preserve">title agencies and settlement companies maintain the financial capacity to stand behind their professional services. In addition, state law and title insurance underwriting agreements may require a company to maintain professional liability insurance or errors and omissions insurance, fidelity coverage or surety bonds.  </w:t>
      </w:r>
    </w:p>
    <w:p w14:paraId="44624C09" w14:textId="77777777" w:rsidR="00B3265E" w:rsidRPr="00672C0B" w:rsidRDefault="00B3265E" w:rsidP="00B3265E">
      <w:pPr>
        <w:rPr>
          <w:rFonts w:ascii="Arial" w:hAnsi="Arial" w:cs="Arial"/>
          <w:sz w:val="20"/>
          <w:szCs w:val="20"/>
        </w:rPr>
      </w:pPr>
      <w:r w:rsidRPr="00672C0B">
        <w:rPr>
          <w:rFonts w:ascii="Arial" w:hAnsi="Arial" w:cs="Arial"/>
          <w:sz w:val="20"/>
          <w:szCs w:val="20"/>
        </w:rPr>
        <w:t>Procedures to meet this best practice:</w:t>
      </w:r>
    </w:p>
    <w:p w14:paraId="0A0BD209" w14:textId="77777777" w:rsidR="00B3265E" w:rsidRPr="00672C0B" w:rsidRDefault="00B3265E" w:rsidP="00B3265E">
      <w:pPr>
        <w:numPr>
          <w:ilvl w:val="0"/>
          <w:numId w:val="9"/>
        </w:numPr>
        <w:contextualSpacing/>
        <w:rPr>
          <w:rFonts w:ascii="Arial" w:hAnsi="Arial" w:cs="Arial"/>
          <w:sz w:val="20"/>
          <w:szCs w:val="20"/>
        </w:rPr>
      </w:pPr>
      <w:r w:rsidRPr="00672C0B">
        <w:rPr>
          <w:rFonts w:ascii="Arial" w:hAnsi="Arial" w:cs="Arial"/>
          <w:sz w:val="20"/>
          <w:szCs w:val="20"/>
        </w:rPr>
        <w:t xml:space="preserve">The Company maintains professional liability insurance or errors and omissions insurance.  </w:t>
      </w:r>
    </w:p>
    <w:p w14:paraId="028551CE" w14:textId="77777777" w:rsidR="005D0A08" w:rsidRDefault="00B3265E" w:rsidP="00B3265E">
      <w:pPr>
        <w:numPr>
          <w:ilvl w:val="0"/>
          <w:numId w:val="9"/>
        </w:numPr>
        <w:contextualSpacing/>
        <w:rPr>
          <w:rFonts w:ascii="Arial" w:hAnsi="Arial" w:cs="Arial"/>
          <w:sz w:val="20"/>
          <w:szCs w:val="20"/>
        </w:rPr>
      </w:pPr>
      <w:r w:rsidRPr="00672C0B">
        <w:rPr>
          <w:rFonts w:ascii="Arial" w:hAnsi="Arial" w:cs="Arial"/>
          <w:sz w:val="20"/>
          <w:szCs w:val="20"/>
        </w:rPr>
        <w:t>The Company complies with requirements for professional liability insurance, errors and omissions insurance, fidelity coverage or surety bonds, as provided by state law or title insurance underwriting agreements.</w:t>
      </w:r>
    </w:p>
    <w:p w14:paraId="4F9FF798" w14:textId="77777777" w:rsidR="005D0A08" w:rsidRDefault="005D0A08" w:rsidP="005D0A08">
      <w:pPr>
        <w:contextualSpacing/>
        <w:rPr>
          <w:rFonts w:ascii="Arial" w:hAnsi="Arial" w:cs="Arial"/>
          <w:sz w:val="20"/>
          <w:szCs w:val="20"/>
        </w:rPr>
      </w:pPr>
    </w:p>
    <w:p w14:paraId="46EA5F0F" w14:textId="77777777" w:rsidR="00B3265E" w:rsidRPr="00672C0B" w:rsidRDefault="005D0A08" w:rsidP="005D0A08">
      <w:pPr>
        <w:contextualSpacing/>
        <w:rPr>
          <w:rFonts w:ascii="Arial" w:hAnsi="Arial" w:cs="Arial"/>
          <w:sz w:val="20"/>
          <w:szCs w:val="20"/>
        </w:rPr>
      </w:pPr>
      <w:r>
        <w:rPr>
          <w:rFonts w:ascii="Arial" w:hAnsi="Arial" w:cs="Arial"/>
          <w:noProof/>
          <w:sz w:val="20"/>
          <w:szCs w:val="20"/>
        </w:rPr>
        <mc:AlternateContent>
          <mc:Choice Requires="wps">
            <w:drawing>
              <wp:inline distT="0" distB="0" distL="0" distR="0" wp14:anchorId="675E3007" wp14:editId="236566F1">
                <wp:extent cx="5829300" cy="1323975"/>
                <wp:effectExtent l="0" t="0" r="19050" b="28575"/>
                <wp:docPr id="9" name="Text Box 9"/>
                <wp:cNvGraphicFramePr/>
                <a:graphic xmlns:a="http://schemas.openxmlformats.org/drawingml/2006/main">
                  <a:graphicData uri="http://schemas.microsoft.com/office/word/2010/wordprocessingShape">
                    <wps:wsp>
                      <wps:cNvSpPr txBox="1"/>
                      <wps:spPr>
                        <a:xfrm>
                          <a:off x="0" y="0"/>
                          <a:ext cx="5829300" cy="1323975"/>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618509B" w14:textId="33D6CF15" w:rsidR="00045F53" w:rsidRPr="00B46753" w:rsidRDefault="007E7FF8" w:rsidP="00045F53">
                            <w:pPr>
                              <w:spacing w:after="0"/>
                              <w:rPr>
                                <w:b/>
                              </w:rPr>
                            </w:pPr>
                            <w:r>
                              <w:rPr>
                                <w:b/>
                              </w:rPr>
                              <w:t>The Title Exchange</w:t>
                            </w:r>
                            <w:r w:rsidR="00045F53" w:rsidRPr="00B46753">
                              <w:rPr>
                                <w:b/>
                              </w:rPr>
                              <w:t xml:space="preserve"> </w:t>
                            </w:r>
                            <w:r w:rsidR="00045F53">
                              <w:rPr>
                                <w:b/>
                              </w:rPr>
                              <w:t>maintains professional liability insurance and fidelity coverage.</w:t>
                            </w:r>
                          </w:p>
                          <w:p w14:paraId="1DD94E1C" w14:textId="4BAC892D" w:rsidR="00045F53" w:rsidRDefault="00045F53" w:rsidP="00045F53">
                            <w:pPr>
                              <w:rPr>
                                <w:b/>
                                <w:i/>
                              </w:rPr>
                            </w:pPr>
                            <w:r w:rsidRPr="00B46753">
                              <w:rPr>
                                <w:b/>
                                <w:i/>
                              </w:rPr>
                              <w:t xml:space="preserve">Evidence of </w:t>
                            </w:r>
                            <w:r w:rsidR="007E7FF8">
                              <w:rPr>
                                <w:b/>
                                <w:i/>
                              </w:rPr>
                              <w:t>The Title Exchange</w:t>
                            </w:r>
                            <w:r>
                              <w:rPr>
                                <w:b/>
                                <w:i/>
                              </w:rPr>
                              <w:t xml:space="preserve"> compliance with Best Practice 6 can be found in Appendix 6</w:t>
                            </w:r>
                            <w:r w:rsidRPr="00B46753">
                              <w:rPr>
                                <w:b/>
                                <w:i/>
                              </w:rPr>
                              <w:t>.</w:t>
                            </w:r>
                          </w:p>
                          <w:p w14:paraId="34964F21" w14:textId="77777777" w:rsidR="00045F53" w:rsidRDefault="00045F53" w:rsidP="00045F53">
                            <w:pPr>
                              <w:spacing w:after="0"/>
                              <w:ind w:left="720"/>
                              <w:rPr>
                                <w:b/>
                              </w:rPr>
                            </w:pPr>
                            <w:r>
                              <w:rPr>
                                <w:b/>
                              </w:rPr>
                              <w:t>Sections:</w:t>
                            </w:r>
                          </w:p>
                          <w:p w14:paraId="05667F5B" w14:textId="77777777" w:rsidR="0013607E" w:rsidRDefault="00AB59F3" w:rsidP="00AB59F3">
                            <w:pPr>
                              <w:pStyle w:val="ListParagraph"/>
                              <w:numPr>
                                <w:ilvl w:val="0"/>
                                <w:numId w:val="18"/>
                              </w:numPr>
                              <w:spacing w:after="0"/>
                            </w:pPr>
                            <w:r>
                              <w:t xml:space="preserve">The company maintains Errors &amp; Omissions insurance, </w:t>
                            </w:r>
                            <w:r w:rsidR="0013607E">
                              <w:t>Fidelity coverage and Surety coverage to meet legal</w:t>
                            </w:r>
                            <w:r>
                              <w:t xml:space="preserve"> requirements</w:t>
                            </w:r>
                            <w:r w:rsidR="0013607E">
                              <w:t xml:space="preserve"> and </w:t>
                            </w:r>
                            <w:r>
                              <w:t>underwriting agreements</w:t>
                            </w:r>
                            <w:r w:rsidR="0013607E">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75E3007" id="Text Box 9" o:spid="_x0000_s1034" type="#_x0000_t202" style="width:459pt;height:10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" fillcolor="#f2f2f2 [3052]" strokeweight=".5pt">
                <v:textbox>
                  <w:txbxContent>
                    <w:p w14:paraId="7618509B" w14:textId="33D6CF15" w:rsidR="00045F53" w:rsidRPr="00B46753" w:rsidRDefault="007E7FF8" w:rsidP="00045F53">
                      <w:pPr>
                        <w:spacing w:after="0"/>
                        <w:rPr>
                          <w:b/>
                        </w:rPr>
                      </w:pPr>
                      <w:r>
                        <w:rPr>
                          <w:b/>
                        </w:rPr>
                        <w:t>The Title Exchange</w:t>
                      </w:r>
                      <w:r w:rsidR="00045F53" w:rsidRPr="00B46753">
                        <w:rPr>
                          <w:b/>
                        </w:rPr>
                        <w:t xml:space="preserve"> </w:t>
                      </w:r>
                      <w:r w:rsidR="00045F53">
                        <w:rPr>
                          <w:b/>
                        </w:rPr>
                        <w:t>maintains professional liability insurance and fidelity coverage.</w:t>
                      </w:r>
                    </w:p>
                    <w:p w14:paraId="1DD94E1C" w14:textId="4BAC892D" w:rsidR="00045F53" w:rsidRDefault="00045F53" w:rsidP="00045F53">
                      <w:pPr>
                        <w:rPr>
                          <w:b/>
                          <w:i/>
                        </w:rPr>
                      </w:pPr>
                      <w:r w:rsidRPr="00B46753">
                        <w:rPr>
                          <w:b/>
                          <w:i/>
                        </w:rPr>
                        <w:t xml:space="preserve">Evidence of </w:t>
                      </w:r>
                      <w:r w:rsidR="007E7FF8">
                        <w:rPr>
                          <w:b/>
                          <w:i/>
                        </w:rPr>
                        <w:t>The Title Exchange</w:t>
                      </w:r>
                      <w:r>
                        <w:rPr>
                          <w:b/>
                          <w:i/>
                        </w:rPr>
                        <w:t xml:space="preserve"> compliance with Best Practice 6 can be found in Appendix 6</w:t>
                      </w:r>
                      <w:r w:rsidRPr="00B46753">
                        <w:rPr>
                          <w:b/>
                          <w:i/>
                        </w:rPr>
                        <w:t>.</w:t>
                      </w:r>
                    </w:p>
                    <w:p w14:paraId="34964F21" w14:textId="77777777" w:rsidR="00045F53" w:rsidRDefault="00045F53" w:rsidP="00045F53">
                      <w:pPr>
                        <w:spacing w:after="0"/>
                        <w:ind w:left="720"/>
                        <w:rPr>
                          <w:b/>
                        </w:rPr>
                      </w:pPr>
                      <w:r>
                        <w:rPr>
                          <w:b/>
                        </w:rPr>
                        <w:t>Sections:</w:t>
                      </w:r>
                    </w:p>
                    <w:p w14:paraId="05667F5B" w14:textId="77777777" w:rsidR="0013607E" w:rsidRDefault="00AB59F3" w:rsidP="00AB59F3">
                      <w:pPr>
                        <w:pStyle w:val="ListParagraph"/>
                        <w:numPr>
                          <w:ilvl w:val="0"/>
                          <w:numId w:val="18"/>
                        </w:numPr>
                        <w:spacing w:after="0"/>
                      </w:pPr>
                      <w:r>
                        <w:t xml:space="preserve">The company maintains Errors &amp; Omissions insurance, </w:t>
                      </w:r>
                      <w:r w:rsidR="0013607E">
                        <w:t>Fidelity coverage and Surety coverage to meet legal</w:t>
                      </w:r>
                      <w:r>
                        <w:t xml:space="preserve"> requirements</w:t>
                      </w:r>
                      <w:r w:rsidR="0013607E">
                        <w:t xml:space="preserve"> and </w:t>
                      </w:r>
                      <w:r>
                        <w:t>underwriting agreements</w:t>
                      </w:r>
                      <w:r w:rsidR="0013607E">
                        <w:t>.</w:t>
                      </w:r>
                    </w:p>
                  </w:txbxContent>
                </v:textbox>
                <w10:anchorlock/>
              </v:shape>
            </w:pict>
          </mc:Fallback>
        </mc:AlternateContent>
      </w:r>
      <w:r w:rsidR="00B3265E" w:rsidRPr="00672C0B">
        <w:rPr>
          <w:rFonts w:ascii="Arial" w:hAnsi="Arial" w:cs="Arial"/>
          <w:sz w:val="20"/>
          <w:szCs w:val="20"/>
        </w:rPr>
        <w:t xml:space="preserve"> </w:t>
      </w:r>
    </w:p>
    <w:p w14:paraId="284D8EF4" w14:textId="77777777" w:rsidR="00B3265E" w:rsidRPr="00672C0B" w:rsidRDefault="00B3265E" w:rsidP="00B3265E">
      <w:pPr>
        <w:pStyle w:val="ListParagraph"/>
        <w:rPr>
          <w:rFonts w:ascii="Arial" w:hAnsi="Arial" w:cs="Arial"/>
          <w:b/>
          <w:sz w:val="20"/>
          <w:szCs w:val="20"/>
        </w:rPr>
      </w:pPr>
    </w:p>
    <w:p w14:paraId="4271EB93" w14:textId="77777777" w:rsidR="00B3265E" w:rsidRPr="00672C0B" w:rsidRDefault="00B3265E" w:rsidP="00B3265E">
      <w:pPr>
        <w:pStyle w:val="ListParagraph"/>
        <w:numPr>
          <w:ilvl w:val="0"/>
          <w:numId w:val="10"/>
        </w:numPr>
        <w:rPr>
          <w:rFonts w:ascii="Arial" w:hAnsi="Arial" w:cs="Arial"/>
          <w:b/>
          <w:sz w:val="20"/>
          <w:szCs w:val="20"/>
        </w:rPr>
      </w:pPr>
      <w:r w:rsidRPr="00672C0B">
        <w:rPr>
          <w:rFonts w:ascii="Arial" w:hAnsi="Arial" w:cs="Arial"/>
          <w:b/>
          <w:sz w:val="20"/>
          <w:szCs w:val="20"/>
        </w:rPr>
        <w:t>Best Practice: Adopt and maintain written procedures for resolving consumer complaints.</w:t>
      </w:r>
    </w:p>
    <w:p w14:paraId="27674470" w14:textId="77777777" w:rsidR="00B3265E" w:rsidRPr="00672C0B" w:rsidRDefault="00B3265E" w:rsidP="00B3265E">
      <w:pPr>
        <w:rPr>
          <w:rFonts w:ascii="Arial" w:hAnsi="Arial" w:cs="Arial"/>
          <w:sz w:val="20"/>
          <w:szCs w:val="20"/>
        </w:rPr>
      </w:pPr>
      <w:r w:rsidRPr="00672C0B">
        <w:rPr>
          <w:rFonts w:ascii="Arial" w:hAnsi="Arial" w:cs="Arial"/>
          <w:b/>
          <w:sz w:val="20"/>
          <w:szCs w:val="20"/>
        </w:rPr>
        <w:t xml:space="preserve">Purpose: </w:t>
      </w:r>
      <w:r w:rsidRPr="00672C0B">
        <w:rPr>
          <w:rFonts w:ascii="Arial" w:hAnsi="Arial" w:cs="Arial"/>
          <w:sz w:val="20"/>
          <w:szCs w:val="20"/>
        </w:rPr>
        <w:t>A process for receiving and addressing consumer complaints</w:t>
      </w:r>
      <w:r>
        <w:rPr>
          <w:rFonts w:ascii="Arial" w:hAnsi="Arial" w:cs="Arial"/>
          <w:sz w:val="20"/>
          <w:szCs w:val="20"/>
        </w:rPr>
        <w:t xml:space="preserve"> helps ensure reported </w:t>
      </w:r>
      <w:r w:rsidRPr="00672C0B">
        <w:rPr>
          <w:rFonts w:ascii="Arial" w:hAnsi="Arial" w:cs="Arial"/>
          <w:sz w:val="20"/>
          <w:szCs w:val="20"/>
        </w:rPr>
        <w:t>instances of poor service or non-compliance do not go undiscovered.</w:t>
      </w:r>
    </w:p>
    <w:p w14:paraId="5D1DD402" w14:textId="77777777" w:rsidR="00420C8E" w:rsidRDefault="00420C8E" w:rsidP="00B3265E">
      <w:pPr>
        <w:rPr>
          <w:rFonts w:ascii="Arial" w:hAnsi="Arial" w:cs="Arial"/>
          <w:sz w:val="20"/>
          <w:szCs w:val="20"/>
        </w:rPr>
      </w:pPr>
    </w:p>
    <w:p w14:paraId="30770E9C" w14:textId="77777777" w:rsidR="00420C8E" w:rsidRDefault="00420C8E" w:rsidP="00B3265E">
      <w:pPr>
        <w:rPr>
          <w:rFonts w:ascii="Arial" w:hAnsi="Arial" w:cs="Arial"/>
          <w:sz w:val="20"/>
          <w:szCs w:val="20"/>
        </w:rPr>
      </w:pPr>
    </w:p>
    <w:p w14:paraId="3FB954F4" w14:textId="5C5B2A6A" w:rsidR="00B3265E" w:rsidRPr="00672C0B" w:rsidRDefault="00B3265E" w:rsidP="00B3265E">
      <w:pPr>
        <w:rPr>
          <w:rFonts w:ascii="Arial" w:hAnsi="Arial" w:cs="Arial"/>
          <w:sz w:val="20"/>
          <w:szCs w:val="20"/>
        </w:rPr>
      </w:pPr>
      <w:r w:rsidRPr="00672C0B">
        <w:rPr>
          <w:rFonts w:ascii="Arial" w:hAnsi="Arial" w:cs="Arial"/>
          <w:sz w:val="20"/>
          <w:szCs w:val="20"/>
        </w:rPr>
        <w:lastRenderedPageBreak/>
        <w:t>Procedures to meet this best practice:</w:t>
      </w:r>
    </w:p>
    <w:p w14:paraId="771B51E4" w14:textId="38838A4B" w:rsidR="007E7FF8" w:rsidRPr="007E7FF8" w:rsidRDefault="007E7FF8" w:rsidP="007E7FF8">
      <w:pPr>
        <w:pStyle w:val="ListParagraph"/>
        <w:numPr>
          <w:ilvl w:val="0"/>
          <w:numId w:val="5"/>
        </w:numPr>
        <w:rPr>
          <w:rFonts w:asciiTheme="minorHAnsi" w:hAnsiTheme="minorHAnsi" w:cstheme="minorHAnsi"/>
          <w:sz w:val="20"/>
          <w:szCs w:val="20"/>
        </w:rPr>
      </w:pPr>
      <w:r w:rsidRPr="007E7FF8">
        <w:rPr>
          <w:rFonts w:asciiTheme="minorHAnsi" w:hAnsiTheme="minorHAnsi" w:cstheme="minorHAnsi"/>
          <w:sz w:val="20"/>
          <w:szCs w:val="20"/>
        </w:rPr>
        <w:t>Consumer complaint intake, documentation, and tracking done by any employee that takes a complaint, in person, by phone or any other method.  Documentation can be found on company’s shared drive.</w:t>
      </w:r>
    </w:p>
    <w:p w14:paraId="295D2382" w14:textId="77777777" w:rsidR="007E7FF8" w:rsidRPr="00D57D48" w:rsidRDefault="007E7FF8" w:rsidP="007E7FF8">
      <w:pPr>
        <w:pStyle w:val="ListParagraph"/>
        <w:numPr>
          <w:ilvl w:val="0"/>
          <w:numId w:val="5"/>
        </w:numPr>
        <w:rPr>
          <w:rFonts w:asciiTheme="minorHAnsi" w:hAnsiTheme="minorHAnsi" w:cstheme="minorHAnsi"/>
        </w:rPr>
      </w:pPr>
    </w:p>
    <w:p w14:paraId="592D782A" w14:textId="77777777" w:rsidR="00B3265E" w:rsidRPr="00672C0B" w:rsidRDefault="00B3265E" w:rsidP="00B3265E">
      <w:pPr>
        <w:pStyle w:val="ListParagraph"/>
        <w:numPr>
          <w:ilvl w:val="1"/>
          <w:numId w:val="5"/>
        </w:numPr>
        <w:rPr>
          <w:rFonts w:ascii="Arial" w:hAnsi="Arial" w:cs="Arial"/>
          <w:sz w:val="20"/>
          <w:szCs w:val="20"/>
        </w:rPr>
      </w:pPr>
      <w:r w:rsidRPr="00672C0B">
        <w:rPr>
          <w:rFonts w:ascii="Arial" w:hAnsi="Arial" w:cs="Arial"/>
          <w:sz w:val="20"/>
          <w:szCs w:val="20"/>
        </w:rPr>
        <w:t>Standard procedures for logging and resolving consumer complaints</w:t>
      </w:r>
      <w:r>
        <w:rPr>
          <w:rFonts w:ascii="Arial" w:hAnsi="Arial" w:cs="Arial"/>
          <w:sz w:val="20"/>
          <w:szCs w:val="20"/>
        </w:rPr>
        <w:t xml:space="preserve"> helps ensure</w:t>
      </w:r>
      <w:r w:rsidRPr="00672C0B">
        <w:rPr>
          <w:rFonts w:ascii="Arial" w:hAnsi="Arial" w:cs="Arial"/>
          <w:sz w:val="20"/>
          <w:szCs w:val="20"/>
        </w:rPr>
        <w:t xml:space="preserve"> consumers provide the company with sufficient information to understand the nature and scope of the complaint.</w:t>
      </w:r>
    </w:p>
    <w:p w14:paraId="4067CFFB" w14:textId="77777777" w:rsidR="00B3265E" w:rsidRPr="00672C0B" w:rsidRDefault="00B3265E" w:rsidP="00B3265E">
      <w:pPr>
        <w:pStyle w:val="ListParagraph"/>
        <w:numPr>
          <w:ilvl w:val="2"/>
          <w:numId w:val="5"/>
        </w:numPr>
        <w:rPr>
          <w:rFonts w:ascii="Arial" w:hAnsi="Arial" w:cs="Arial"/>
          <w:sz w:val="20"/>
          <w:szCs w:val="20"/>
        </w:rPr>
      </w:pPr>
      <w:r w:rsidRPr="00672C0B">
        <w:rPr>
          <w:rFonts w:ascii="Arial" w:hAnsi="Arial" w:cs="Arial"/>
          <w:sz w:val="20"/>
          <w:szCs w:val="20"/>
        </w:rPr>
        <w:t>Develop a standard consumer complaint form that identifies information that connects the complaint to a specific transaction.</w:t>
      </w:r>
    </w:p>
    <w:p w14:paraId="69A29929" w14:textId="77777777" w:rsidR="00B3265E" w:rsidRPr="00672C0B" w:rsidRDefault="00B3265E" w:rsidP="00B3265E">
      <w:pPr>
        <w:pStyle w:val="ListParagraph"/>
        <w:numPr>
          <w:ilvl w:val="2"/>
          <w:numId w:val="5"/>
        </w:numPr>
        <w:rPr>
          <w:rFonts w:ascii="Arial" w:hAnsi="Arial" w:cs="Arial"/>
          <w:sz w:val="20"/>
          <w:szCs w:val="20"/>
        </w:rPr>
      </w:pPr>
      <w:r w:rsidRPr="00672C0B">
        <w:rPr>
          <w:rFonts w:ascii="Arial" w:hAnsi="Arial" w:cs="Arial"/>
          <w:sz w:val="20"/>
          <w:szCs w:val="20"/>
        </w:rPr>
        <w:t>Set a single point of contact for consumer complaints.</w:t>
      </w:r>
    </w:p>
    <w:p w14:paraId="1DDAB6F4" w14:textId="77777777" w:rsidR="00B3265E" w:rsidRPr="00672C0B" w:rsidRDefault="00B3265E" w:rsidP="00B3265E">
      <w:pPr>
        <w:pStyle w:val="ListParagraph"/>
        <w:numPr>
          <w:ilvl w:val="2"/>
          <w:numId w:val="5"/>
        </w:numPr>
        <w:rPr>
          <w:rFonts w:ascii="Arial" w:hAnsi="Arial" w:cs="Arial"/>
          <w:sz w:val="20"/>
          <w:szCs w:val="20"/>
        </w:rPr>
      </w:pPr>
      <w:r w:rsidRPr="00672C0B">
        <w:rPr>
          <w:rFonts w:ascii="Arial" w:hAnsi="Arial" w:cs="Arial"/>
          <w:sz w:val="20"/>
          <w:szCs w:val="20"/>
        </w:rPr>
        <w:t xml:space="preserve">Establish procedures for forwarding complaints to appropriate personnel. </w:t>
      </w:r>
    </w:p>
    <w:p w14:paraId="6AA9682F" w14:textId="77777777" w:rsidR="003E1BF0" w:rsidRDefault="00B3265E" w:rsidP="00B3265E">
      <w:pPr>
        <w:rPr>
          <w:rFonts w:ascii="Arial" w:hAnsi="Arial" w:cs="Arial"/>
          <w:sz w:val="20"/>
          <w:szCs w:val="20"/>
        </w:rPr>
      </w:pPr>
      <w:r w:rsidRPr="00672C0B">
        <w:rPr>
          <w:rFonts w:ascii="Arial" w:hAnsi="Arial" w:cs="Arial"/>
          <w:sz w:val="20"/>
          <w:szCs w:val="20"/>
        </w:rPr>
        <w:t>Maintain a log of consumer complaints that includes whether and how the complaint was resolved.</w:t>
      </w:r>
    </w:p>
    <w:p w14:paraId="000EC019" w14:textId="77777777" w:rsidR="005D0A08" w:rsidRDefault="005D0A08" w:rsidP="00B3265E">
      <w:r>
        <w:rPr>
          <w:rFonts w:ascii="Arial" w:hAnsi="Arial" w:cs="Arial"/>
          <w:noProof/>
          <w:sz w:val="20"/>
          <w:szCs w:val="20"/>
        </w:rPr>
        <mc:AlternateContent>
          <mc:Choice Requires="wps">
            <w:drawing>
              <wp:inline distT="0" distB="0" distL="0" distR="0" wp14:anchorId="042B02B2" wp14:editId="215F9ECA">
                <wp:extent cx="6019800" cy="1684020"/>
                <wp:effectExtent l="0" t="0" r="19050" b="11430"/>
                <wp:docPr id="10" name="Text Box 10"/>
                <wp:cNvGraphicFramePr/>
                <a:graphic xmlns:a="http://schemas.openxmlformats.org/drawingml/2006/main">
                  <a:graphicData uri="http://schemas.microsoft.com/office/word/2010/wordprocessingShape">
                    <wps:wsp>
                      <wps:cNvSpPr txBox="1"/>
                      <wps:spPr>
                        <a:xfrm>
                          <a:off x="0" y="0"/>
                          <a:ext cx="6019800" cy="1684020"/>
                        </a:xfrm>
                        <a:prstGeom prst="rect">
                          <a:avLst/>
                        </a:prstGeom>
                        <a:solidFill>
                          <a:schemeClr val="bg1">
                            <a:lumMod val="9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7098A91" w14:textId="6EB1781B" w:rsidR="00AB59F3" w:rsidRPr="00B46753" w:rsidRDefault="00420C8E" w:rsidP="00AB59F3">
                            <w:pPr>
                              <w:spacing w:after="0"/>
                              <w:rPr>
                                <w:b/>
                              </w:rPr>
                            </w:pPr>
                            <w:r>
                              <w:rPr>
                                <w:b/>
                              </w:rPr>
                              <w:t>The Title Exchange</w:t>
                            </w:r>
                            <w:r w:rsidR="00AB59F3" w:rsidRPr="00B46753">
                              <w:rPr>
                                <w:b/>
                              </w:rPr>
                              <w:t xml:space="preserve"> </w:t>
                            </w:r>
                            <w:r w:rsidR="00AB59F3">
                              <w:rPr>
                                <w:b/>
                              </w:rPr>
                              <w:t>has adopted and maintains written procedures for resolving consumer complaints.</w:t>
                            </w:r>
                          </w:p>
                          <w:p w14:paraId="1415872A" w14:textId="2D6BB484" w:rsidR="00AB59F3" w:rsidRDefault="00AB59F3" w:rsidP="00AB59F3">
                            <w:pPr>
                              <w:rPr>
                                <w:b/>
                                <w:i/>
                              </w:rPr>
                            </w:pPr>
                            <w:r w:rsidRPr="00B46753">
                              <w:rPr>
                                <w:b/>
                                <w:i/>
                              </w:rPr>
                              <w:t xml:space="preserve">Evidence of </w:t>
                            </w:r>
                            <w:r w:rsidR="00420C8E">
                              <w:rPr>
                                <w:b/>
                                <w:i/>
                              </w:rPr>
                              <w:t>The Title Exchange’s</w:t>
                            </w:r>
                            <w:r>
                              <w:rPr>
                                <w:b/>
                                <w:i/>
                              </w:rPr>
                              <w:t xml:space="preserve"> compliance with Best Practice 7 can be found in Appendix 7</w:t>
                            </w:r>
                            <w:r w:rsidRPr="00B46753">
                              <w:rPr>
                                <w:b/>
                                <w:i/>
                              </w:rPr>
                              <w:t>.</w:t>
                            </w:r>
                          </w:p>
                          <w:p w14:paraId="18EF095D" w14:textId="77777777" w:rsidR="00AB59F3" w:rsidRDefault="00AB59F3" w:rsidP="00AB59F3">
                            <w:pPr>
                              <w:spacing w:after="0"/>
                              <w:ind w:left="720"/>
                              <w:rPr>
                                <w:b/>
                              </w:rPr>
                            </w:pPr>
                            <w:r>
                              <w:rPr>
                                <w:b/>
                              </w:rPr>
                              <w:t>Sections:</w:t>
                            </w:r>
                          </w:p>
                          <w:p w14:paraId="2546E39E" w14:textId="3AF960DF" w:rsidR="00AB59F3" w:rsidRDefault="00420C8E" w:rsidP="00AB59F3">
                            <w:pPr>
                              <w:pStyle w:val="ListParagraph"/>
                              <w:numPr>
                                <w:ilvl w:val="0"/>
                                <w:numId w:val="19"/>
                              </w:numPr>
                              <w:spacing w:after="0"/>
                            </w:pPr>
                            <w:r>
                              <w:t>The Title Exchange</w:t>
                            </w:r>
                            <w:r w:rsidR="003C3D65">
                              <w:t xml:space="preserve"> has established a database for intake, documentation, and tracking of consumer complaints as well as procedures for resolution and reporting of consumer complaints.</w:t>
                            </w:r>
                          </w:p>
                          <w:p w14:paraId="2B96EC08" w14:textId="77777777" w:rsidR="005D0A08" w:rsidRDefault="005D0A08" w:rsidP="005D0A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42B02B2" id="Text Box 10" o:spid="_x0000_s1035" type="#_x0000_t202" style="width:474pt;height:13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" fillcolor="#f2f2f2 [3052]" strokeweight=".5pt">
                <v:textbox>
                  <w:txbxContent>
                    <w:p w14:paraId="07098A91" w14:textId="6EB1781B" w:rsidR="00AB59F3" w:rsidRPr="00B46753" w:rsidRDefault="00420C8E" w:rsidP="00AB59F3">
                      <w:pPr>
                        <w:spacing w:after="0"/>
                        <w:rPr>
                          <w:b/>
                        </w:rPr>
                      </w:pPr>
                      <w:r>
                        <w:rPr>
                          <w:b/>
                        </w:rPr>
                        <w:t>The Title Exchange</w:t>
                      </w:r>
                      <w:r w:rsidR="00AB59F3" w:rsidRPr="00B46753">
                        <w:rPr>
                          <w:b/>
                        </w:rPr>
                        <w:t xml:space="preserve"> </w:t>
                      </w:r>
                      <w:r w:rsidR="00AB59F3">
                        <w:rPr>
                          <w:b/>
                        </w:rPr>
                        <w:t>has adopted and maintains written procedures for resolving consumer complaints.</w:t>
                      </w:r>
                    </w:p>
                    <w:p w14:paraId="1415872A" w14:textId="2D6BB484" w:rsidR="00AB59F3" w:rsidRDefault="00AB59F3" w:rsidP="00AB59F3">
                      <w:pPr>
                        <w:rPr>
                          <w:b/>
                          <w:i/>
                        </w:rPr>
                      </w:pPr>
                      <w:r w:rsidRPr="00B46753">
                        <w:rPr>
                          <w:b/>
                          <w:i/>
                        </w:rPr>
                        <w:t xml:space="preserve">Evidence of </w:t>
                      </w:r>
                      <w:r w:rsidR="00420C8E">
                        <w:rPr>
                          <w:b/>
                          <w:i/>
                        </w:rPr>
                        <w:t>The Title Exchange’s</w:t>
                      </w:r>
                      <w:r>
                        <w:rPr>
                          <w:b/>
                          <w:i/>
                        </w:rPr>
                        <w:t xml:space="preserve"> compliance with Best Practice 7 can be found in Appendix 7</w:t>
                      </w:r>
                      <w:r w:rsidRPr="00B46753">
                        <w:rPr>
                          <w:b/>
                          <w:i/>
                        </w:rPr>
                        <w:t>.</w:t>
                      </w:r>
                    </w:p>
                    <w:p w14:paraId="18EF095D" w14:textId="77777777" w:rsidR="00AB59F3" w:rsidRDefault="00AB59F3" w:rsidP="00AB59F3">
                      <w:pPr>
                        <w:spacing w:after="0"/>
                        <w:ind w:left="720"/>
                        <w:rPr>
                          <w:b/>
                        </w:rPr>
                      </w:pPr>
                      <w:r>
                        <w:rPr>
                          <w:b/>
                        </w:rPr>
                        <w:t>Sections:</w:t>
                      </w:r>
                    </w:p>
                    <w:p w14:paraId="2546E39E" w14:textId="3AF960DF" w:rsidR="00AB59F3" w:rsidRDefault="00420C8E" w:rsidP="00AB59F3">
                      <w:pPr>
                        <w:pStyle w:val="ListParagraph"/>
                        <w:numPr>
                          <w:ilvl w:val="0"/>
                          <w:numId w:val="19"/>
                        </w:numPr>
                        <w:spacing w:after="0"/>
                      </w:pPr>
                      <w:r>
                        <w:t>The Title Exchange</w:t>
                      </w:r>
                      <w:r w:rsidR="003C3D65">
                        <w:t xml:space="preserve"> has established a database for intake, documentation, and tracking of consumer complaints as well as procedures for resolution and reporting of consumer complaints.</w:t>
                      </w:r>
                    </w:p>
                    <w:p w14:paraId="2B96EC08" w14:textId="77777777" w:rsidR="005D0A08" w:rsidRDefault="005D0A08" w:rsidP="005D0A08"/>
                  </w:txbxContent>
                </v:textbox>
                <w10:anchorlock/>
              </v:shape>
            </w:pict>
          </mc:Fallback>
        </mc:AlternateContent>
      </w:r>
    </w:p>
    <w:sectPr w:rsidR="005D0A08" w:rsidSect="00566125">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98A007" w14:textId="77777777" w:rsidR="006D1171" w:rsidRDefault="006D1171" w:rsidP="0043578D">
      <w:pPr>
        <w:spacing w:after="0" w:line="240" w:lineRule="auto"/>
      </w:pPr>
      <w:r>
        <w:separator/>
      </w:r>
    </w:p>
  </w:endnote>
  <w:endnote w:type="continuationSeparator" w:id="0">
    <w:p w14:paraId="35679020" w14:textId="77777777" w:rsidR="006D1171" w:rsidRDefault="006D1171" w:rsidP="00435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altName w:val="Times New Roman"/>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897377"/>
      <w:docPartObj>
        <w:docPartGallery w:val="Page Numbers (Bottom of Page)"/>
        <w:docPartUnique/>
      </w:docPartObj>
    </w:sdtPr>
    <w:sdtEndPr>
      <w:rPr>
        <w:noProof/>
      </w:rPr>
    </w:sdtEndPr>
    <w:sdtContent>
      <w:p w14:paraId="23F4C044" w14:textId="262210DF" w:rsidR="005D5016" w:rsidRDefault="005D5016" w:rsidP="00FB51ED">
        <w:pPr>
          <w:pStyle w:val="Footer"/>
          <w:ind w:firstLine="4320"/>
          <w:jc w:val="center"/>
          <w:rPr>
            <w:noProof/>
          </w:rPr>
        </w:pPr>
        <w:r>
          <w:fldChar w:fldCharType="begin"/>
        </w:r>
        <w:r>
          <w:instrText xml:space="preserve"> PAGE   \* MERGEFORMAT </w:instrText>
        </w:r>
        <w:r>
          <w:fldChar w:fldCharType="separate"/>
        </w:r>
        <w:r w:rsidR="00744471">
          <w:rPr>
            <w:noProof/>
          </w:rPr>
          <w:t>1</w:t>
        </w:r>
        <w:r>
          <w:rPr>
            <w:noProof/>
          </w:rPr>
          <w:fldChar w:fldCharType="end"/>
        </w:r>
        <w:r w:rsidR="00FB51ED">
          <w:rPr>
            <w:noProof/>
          </w:rPr>
          <w:tab/>
        </w:r>
        <w:r w:rsidR="00FB51ED">
          <w:rPr>
            <w:noProof/>
          </w:rPr>
          <w:tab/>
        </w:r>
        <w:r w:rsidR="00420C8E">
          <w:rPr>
            <w:noProof/>
          </w:rPr>
          <w:t>1</w:t>
        </w:r>
        <w:r w:rsidR="00FB51ED">
          <w:rPr>
            <w:noProof/>
          </w:rPr>
          <w:t>/</w:t>
        </w:r>
        <w:r w:rsidR="00420C8E">
          <w:rPr>
            <w:noProof/>
          </w:rPr>
          <w:t>1</w:t>
        </w:r>
        <w:r w:rsidR="00FB51ED">
          <w:rPr>
            <w:noProof/>
          </w:rPr>
          <w:t>/</w:t>
        </w:r>
        <w:r w:rsidR="00420C8E">
          <w:rPr>
            <w:noProof/>
          </w:rPr>
          <w:t>23</w:t>
        </w:r>
      </w:p>
    </w:sdtContent>
  </w:sdt>
  <w:p w14:paraId="7F80B09D" w14:textId="77777777" w:rsidR="0043578D" w:rsidRDefault="004357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832A3" w14:textId="77777777" w:rsidR="006D1171" w:rsidRDefault="006D1171" w:rsidP="0043578D">
      <w:pPr>
        <w:spacing w:after="0" w:line="240" w:lineRule="auto"/>
      </w:pPr>
      <w:r>
        <w:separator/>
      </w:r>
    </w:p>
  </w:footnote>
  <w:footnote w:type="continuationSeparator" w:id="0">
    <w:p w14:paraId="0FCB4CB6" w14:textId="77777777" w:rsidR="006D1171" w:rsidRDefault="006D1171" w:rsidP="004357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613E1"/>
    <w:multiLevelType w:val="hybridMultilevel"/>
    <w:tmpl w:val="93F0D7FC"/>
    <w:lvl w:ilvl="0" w:tplc="7298AA72">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7833F2A"/>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95041AF"/>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50533D8"/>
    <w:multiLevelType w:val="hybridMultilevel"/>
    <w:tmpl w:val="0A48C0A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C16907"/>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0455E46"/>
    <w:multiLevelType w:val="hybridMultilevel"/>
    <w:tmpl w:val="D7DED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E65D2F"/>
    <w:multiLevelType w:val="hybridMultilevel"/>
    <w:tmpl w:val="066831E8"/>
    <w:lvl w:ilvl="0" w:tplc="F710B14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9DF2483"/>
    <w:multiLevelType w:val="hybridMultilevel"/>
    <w:tmpl w:val="D5907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CC7788"/>
    <w:multiLevelType w:val="hybridMultilevel"/>
    <w:tmpl w:val="DD84AF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54760305"/>
    <w:multiLevelType w:val="hybridMultilevel"/>
    <w:tmpl w:val="9E6299A2"/>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7231A50"/>
    <w:multiLevelType w:val="hybridMultilevel"/>
    <w:tmpl w:val="6562D1C8"/>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771647"/>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D525DF4"/>
    <w:multiLevelType w:val="hybridMultilevel"/>
    <w:tmpl w:val="307A48E2"/>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35C1B61"/>
    <w:multiLevelType w:val="hybridMultilevel"/>
    <w:tmpl w:val="0D0AB8B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36437F4"/>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7" w15:restartNumberingAfterBreak="0">
    <w:nsid w:val="65245792"/>
    <w:multiLevelType w:val="hybridMultilevel"/>
    <w:tmpl w:val="3BFA790C"/>
    <w:lvl w:ilvl="0" w:tplc="42BCAEFA">
      <w:numFmt w:val="bullet"/>
      <w:lvlText w:val="•"/>
      <w:lvlJc w:val="left"/>
      <w:pPr>
        <w:ind w:left="1080" w:hanging="72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95768D"/>
    <w:multiLevelType w:val="hybridMultilevel"/>
    <w:tmpl w:val="06F416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78A5377E"/>
    <w:multiLevelType w:val="hybridMultilevel"/>
    <w:tmpl w:val="2CD091D0"/>
    <w:lvl w:ilvl="0" w:tplc="7298AA72">
      <w:start w:val="1"/>
      <w:numFmt w:val="lowerLetter"/>
      <w:lvlText w:val="%1)"/>
      <w:lvlJc w:val="left"/>
      <w:pPr>
        <w:ind w:left="1800" w:hanging="360"/>
      </w:pPr>
      <w:rPr>
        <w:b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3840838">
    <w:abstractNumId w:val="11"/>
  </w:num>
  <w:num w:numId="2" w16cid:durableId="2037151454">
    <w:abstractNumId w:val="3"/>
  </w:num>
  <w:num w:numId="3" w16cid:durableId="769735426">
    <w:abstractNumId w:val="14"/>
  </w:num>
  <w:num w:numId="4" w16cid:durableId="1187594686">
    <w:abstractNumId w:val="16"/>
  </w:num>
  <w:num w:numId="5" w16cid:durableId="2104376375">
    <w:abstractNumId w:val="13"/>
  </w:num>
  <w:num w:numId="6" w16cid:durableId="522982566">
    <w:abstractNumId w:val="17"/>
  </w:num>
  <w:num w:numId="7" w16cid:durableId="129829776">
    <w:abstractNumId w:val="5"/>
  </w:num>
  <w:num w:numId="8" w16cid:durableId="81032287">
    <w:abstractNumId w:val="6"/>
  </w:num>
  <w:num w:numId="9" w16cid:durableId="833028315">
    <w:abstractNumId w:val="10"/>
  </w:num>
  <w:num w:numId="10" w16cid:durableId="712652695">
    <w:abstractNumId w:val="9"/>
  </w:num>
  <w:num w:numId="11" w16cid:durableId="681786057">
    <w:abstractNumId w:val="0"/>
  </w:num>
  <w:num w:numId="12" w16cid:durableId="1533811431">
    <w:abstractNumId w:val="19"/>
  </w:num>
  <w:num w:numId="13" w16cid:durableId="1309479732">
    <w:abstractNumId w:val="15"/>
  </w:num>
  <w:num w:numId="14" w16cid:durableId="2029061778">
    <w:abstractNumId w:val="4"/>
  </w:num>
  <w:num w:numId="15" w16cid:durableId="1520318161">
    <w:abstractNumId w:val="8"/>
  </w:num>
  <w:num w:numId="16" w16cid:durableId="2123694292">
    <w:abstractNumId w:val="18"/>
  </w:num>
  <w:num w:numId="17" w16cid:durableId="774978759">
    <w:abstractNumId w:val="2"/>
  </w:num>
  <w:num w:numId="18" w16cid:durableId="923104648">
    <w:abstractNumId w:val="12"/>
  </w:num>
  <w:num w:numId="19" w16cid:durableId="1020282411">
    <w:abstractNumId w:val="1"/>
  </w:num>
  <w:num w:numId="20" w16cid:durableId="82582075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65E"/>
    <w:rsid w:val="00045F53"/>
    <w:rsid w:val="00076971"/>
    <w:rsid w:val="00097041"/>
    <w:rsid w:val="00113303"/>
    <w:rsid w:val="00135966"/>
    <w:rsid w:val="0013607E"/>
    <w:rsid w:val="00154960"/>
    <w:rsid w:val="0028681F"/>
    <w:rsid w:val="002C57DB"/>
    <w:rsid w:val="003202A3"/>
    <w:rsid w:val="0033312D"/>
    <w:rsid w:val="003426EC"/>
    <w:rsid w:val="003669FF"/>
    <w:rsid w:val="003C2D9E"/>
    <w:rsid w:val="003C3D65"/>
    <w:rsid w:val="003C66AA"/>
    <w:rsid w:val="003E1BF0"/>
    <w:rsid w:val="003F574C"/>
    <w:rsid w:val="00420C8E"/>
    <w:rsid w:val="0043578D"/>
    <w:rsid w:val="0046253B"/>
    <w:rsid w:val="00566125"/>
    <w:rsid w:val="00584C12"/>
    <w:rsid w:val="005D0A08"/>
    <w:rsid w:val="005D5016"/>
    <w:rsid w:val="00646655"/>
    <w:rsid w:val="00687A94"/>
    <w:rsid w:val="006D1171"/>
    <w:rsid w:val="00744471"/>
    <w:rsid w:val="0074698B"/>
    <w:rsid w:val="007724FA"/>
    <w:rsid w:val="00780560"/>
    <w:rsid w:val="00790259"/>
    <w:rsid w:val="007E7FF8"/>
    <w:rsid w:val="00812ECE"/>
    <w:rsid w:val="00893B62"/>
    <w:rsid w:val="008C0D34"/>
    <w:rsid w:val="008D38B7"/>
    <w:rsid w:val="009461D4"/>
    <w:rsid w:val="00A023D7"/>
    <w:rsid w:val="00A244B4"/>
    <w:rsid w:val="00A460A6"/>
    <w:rsid w:val="00A91077"/>
    <w:rsid w:val="00AA38A4"/>
    <w:rsid w:val="00AB59F3"/>
    <w:rsid w:val="00B26D1C"/>
    <w:rsid w:val="00B3265E"/>
    <w:rsid w:val="00B46753"/>
    <w:rsid w:val="00B7277B"/>
    <w:rsid w:val="00B9619C"/>
    <w:rsid w:val="00BD6270"/>
    <w:rsid w:val="00C11F1D"/>
    <w:rsid w:val="00C84E39"/>
    <w:rsid w:val="00C9477B"/>
    <w:rsid w:val="00D240BD"/>
    <w:rsid w:val="00DE4707"/>
    <w:rsid w:val="00E5607C"/>
    <w:rsid w:val="00E95064"/>
    <w:rsid w:val="00ED20E1"/>
    <w:rsid w:val="00EE5EE8"/>
    <w:rsid w:val="00F22C34"/>
    <w:rsid w:val="00F401A2"/>
    <w:rsid w:val="00F84BAE"/>
    <w:rsid w:val="00F9578C"/>
    <w:rsid w:val="00FA1C39"/>
    <w:rsid w:val="00FB51ED"/>
    <w:rsid w:val="00FD13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206AB"/>
  <w15:docId w15:val="{CF57C8A1-C486-434E-8AAF-9A6ECFC91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65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65E"/>
    <w:pPr>
      <w:ind w:left="720"/>
      <w:contextualSpacing/>
    </w:pPr>
  </w:style>
  <w:style w:type="paragraph" w:styleId="BalloonText">
    <w:name w:val="Balloon Text"/>
    <w:basedOn w:val="Normal"/>
    <w:link w:val="BalloonTextChar"/>
    <w:uiPriority w:val="99"/>
    <w:semiHidden/>
    <w:unhideWhenUsed/>
    <w:rsid w:val="005D0A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0A08"/>
    <w:rPr>
      <w:rFonts w:ascii="Tahoma" w:eastAsia="Calibri" w:hAnsi="Tahoma" w:cs="Tahoma"/>
      <w:sz w:val="16"/>
      <w:szCs w:val="16"/>
    </w:rPr>
  </w:style>
  <w:style w:type="character" w:styleId="Hyperlink">
    <w:name w:val="Hyperlink"/>
    <w:basedOn w:val="DefaultParagraphFont"/>
    <w:uiPriority w:val="99"/>
    <w:unhideWhenUsed/>
    <w:rsid w:val="00154960"/>
    <w:rPr>
      <w:color w:val="00C8C3" w:themeColor="hyperlink"/>
      <w:u w:val="single"/>
    </w:rPr>
  </w:style>
  <w:style w:type="paragraph" w:styleId="Header">
    <w:name w:val="header"/>
    <w:basedOn w:val="Normal"/>
    <w:link w:val="HeaderChar"/>
    <w:uiPriority w:val="99"/>
    <w:unhideWhenUsed/>
    <w:rsid w:val="004357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578D"/>
    <w:rPr>
      <w:rFonts w:ascii="Calibri" w:eastAsia="Calibri" w:hAnsi="Calibri" w:cs="Times New Roman"/>
    </w:rPr>
  </w:style>
  <w:style w:type="paragraph" w:styleId="Footer">
    <w:name w:val="footer"/>
    <w:basedOn w:val="Normal"/>
    <w:link w:val="FooterChar"/>
    <w:uiPriority w:val="99"/>
    <w:unhideWhenUsed/>
    <w:rsid w:val="004357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578D"/>
    <w:rPr>
      <w:rFonts w:ascii="Calibri" w:eastAsia="Calibri" w:hAnsi="Calibri" w:cs="Times New Roman"/>
    </w:rPr>
  </w:style>
  <w:style w:type="paragraph" w:styleId="NoSpacing">
    <w:name w:val="No Spacing"/>
    <w:link w:val="NoSpacingChar"/>
    <w:uiPriority w:val="1"/>
    <w:qFormat/>
    <w:rsid w:val="0056612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566125"/>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1059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Technic">
  <a:themeElements>
    <a:clrScheme name="Technic">
      <a:dk1>
        <a:sysClr val="windowText" lastClr="000000"/>
      </a:dk1>
      <a:lt1>
        <a:sysClr val="window" lastClr="FFFFFF"/>
      </a:lt1>
      <a:dk2>
        <a:srgbClr val="3B3B3B"/>
      </a:dk2>
      <a:lt2>
        <a:srgbClr val="D4D2D0"/>
      </a:lt2>
      <a:accent1>
        <a:srgbClr val="6EA0B0"/>
      </a:accent1>
      <a:accent2>
        <a:srgbClr val="CCAF0A"/>
      </a:accent2>
      <a:accent3>
        <a:srgbClr val="8D89A4"/>
      </a:accent3>
      <a:accent4>
        <a:srgbClr val="748560"/>
      </a:accent4>
      <a:accent5>
        <a:srgbClr val="9E9273"/>
      </a:accent5>
      <a:accent6>
        <a:srgbClr val="7E848D"/>
      </a:accent6>
      <a:hlink>
        <a:srgbClr val="00C8C3"/>
      </a:hlink>
      <a:folHlink>
        <a:srgbClr val="A116E0"/>
      </a:folHlink>
    </a:clrScheme>
    <a:fontScheme name="Technic">
      <a:majorFont>
        <a:latin typeface="Franklin Gothic Book"/>
        <a:ea typeface=""/>
        <a:cs typeface=""/>
        <a:font script="Jpan" typeface="ＭＳ Ｐゴシック"/>
        <a:font script="Hang" typeface="HY견고딕"/>
        <a:font script="Hans" typeface="宋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HGｺﾞｼｯｸM"/>
        <a:font script="Hang" typeface="HY중고딕"/>
        <a:font script="Hans" typeface="黑体"/>
        <a:font script="Hant" typeface="微軟正黑體"/>
        <a:font script="Arab" typeface="Tahoma"/>
        <a:font script="Hebr" typeface="Levenim MT"/>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echnic">
      <a:fillStyleLst>
        <a:solidFill>
          <a:schemeClr val="phClr"/>
        </a:solidFill>
        <a:gradFill rotWithShape="1">
          <a:gsLst>
            <a:gs pos="0">
              <a:schemeClr val="phClr">
                <a:tint val="1000"/>
              </a:schemeClr>
            </a:gs>
            <a:gs pos="68000">
              <a:schemeClr val="phClr">
                <a:tint val="77000"/>
              </a:schemeClr>
            </a:gs>
            <a:gs pos="81000">
              <a:schemeClr val="phClr">
                <a:tint val="79000"/>
              </a:schemeClr>
            </a:gs>
            <a:gs pos="86000">
              <a:schemeClr val="phClr">
                <a:tint val="73000"/>
              </a:schemeClr>
            </a:gs>
            <a:gs pos="100000">
              <a:schemeClr val="phClr">
                <a:tint val="35000"/>
              </a:schemeClr>
            </a:gs>
          </a:gsLst>
          <a:lin ang="5400000" scaled="1"/>
        </a:gradFill>
        <a:gradFill rotWithShape="1">
          <a:gsLst>
            <a:gs pos="0">
              <a:schemeClr val="phClr">
                <a:tint val="73000"/>
                <a:satMod val="150000"/>
              </a:schemeClr>
            </a:gs>
            <a:gs pos="25000">
              <a:schemeClr val="phClr">
                <a:tint val="96000"/>
                <a:shade val="80000"/>
                <a:satMod val="105000"/>
              </a:schemeClr>
            </a:gs>
            <a:gs pos="38000">
              <a:schemeClr val="phClr">
                <a:tint val="96000"/>
                <a:shade val="59000"/>
                <a:satMod val="120000"/>
              </a:schemeClr>
            </a:gs>
            <a:gs pos="55000">
              <a:schemeClr val="phClr">
                <a:shade val="57000"/>
                <a:satMod val="120000"/>
              </a:schemeClr>
            </a:gs>
            <a:gs pos="80000">
              <a:schemeClr val="phClr">
                <a:shade val="56000"/>
                <a:satMod val="145000"/>
              </a:schemeClr>
            </a:gs>
            <a:gs pos="88000">
              <a:schemeClr val="phClr">
                <a:shade val="63000"/>
                <a:satMod val="160000"/>
              </a:schemeClr>
            </a:gs>
            <a:gs pos="100000">
              <a:schemeClr val="phClr">
                <a:tint val="99555"/>
                <a:satMod val="155000"/>
              </a:schemeClr>
            </a:gs>
          </a:gsLst>
          <a:lin ang="5400000" scaled="1"/>
        </a:gradFill>
      </a:fillStyleLst>
      <a:lnStyleLst>
        <a:ln w="9525" cap="flat" cmpd="sng" algn="ctr">
          <a:solidFill>
            <a:schemeClr val="phClr">
              <a:shade val="60000"/>
              <a:satMod val="300000"/>
            </a:schemeClr>
          </a:solidFill>
          <a:prstDash val="solid"/>
        </a:ln>
        <a:ln w="19050" cap="flat" cmpd="sng" algn="ctr">
          <a:solidFill>
            <a:schemeClr val="phClr"/>
          </a:solidFill>
          <a:prstDash val="solid"/>
        </a:ln>
        <a:ln w="19050" cap="flat" cmpd="sng" algn="ctr">
          <a:solidFill>
            <a:schemeClr val="phClr"/>
          </a:solidFill>
          <a:prstDash val="solid"/>
        </a:ln>
      </a:lnStyleLst>
      <a:effectStyleLst>
        <a:effectStyle>
          <a:effectLst>
            <a:glow rad="63500">
              <a:schemeClr val="phClr">
                <a:tint val="30000"/>
                <a:shade val="95000"/>
                <a:satMod val="300000"/>
                <a:alpha val="50000"/>
              </a:schemeClr>
            </a:glow>
          </a:effectLst>
        </a:effectStyle>
        <a:effectStyle>
          <a:effectLst>
            <a:glow rad="70000">
              <a:schemeClr val="phClr">
                <a:tint val="30000"/>
                <a:shade val="95000"/>
                <a:satMod val="300000"/>
                <a:alpha val="50000"/>
              </a:schemeClr>
            </a:glow>
          </a:effectLst>
        </a:effectStyle>
        <a:effectStyle>
          <a:effectLst>
            <a:glow rad="76200">
              <a:schemeClr val="phClr">
                <a:tint val="30000"/>
                <a:shade val="95000"/>
                <a:satMod val="300000"/>
                <a:alpha val="50000"/>
              </a:schemeClr>
            </a:glow>
          </a:effectLst>
          <a:scene3d>
            <a:camera prst="orthographicFront" fov="0">
              <a:rot lat="0" lon="0" rev="0"/>
            </a:camera>
            <a:lightRig rig="harsh" dir="t">
              <a:rot lat="6000000" lon="6000000" rev="0"/>
            </a:lightRig>
          </a:scene3d>
          <a:sp3d contourW="10000" prstMaterial="metal">
            <a:bevelT w="20000" h="9000" prst="softRound"/>
            <a:contourClr>
              <a:schemeClr val="phClr">
                <a:shade val="30000"/>
                <a:satMod val="200000"/>
              </a:schemeClr>
            </a:contourClr>
          </a:sp3d>
        </a:effectStyle>
      </a:effectStyleLst>
      <a:bgFillStyleLst>
        <a:solidFill>
          <a:schemeClr val="phClr"/>
        </a:solidFill>
        <a:gradFill rotWithShape="1">
          <a:gsLst>
            <a:gs pos="0">
              <a:schemeClr val="phClr">
                <a:shade val="40000"/>
                <a:satMod val="150000"/>
              </a:schemeClr>
            </a:gs>
            <a:gs pos="30000">
              <a:schemeClr val="phClr">
                <a:shade val="60000"/>
                <a:satMod val="150000"/>
              </a:schemeClr>
            </a:gs>
            <a:gs pos="100000">
              <a:schemeClr val="phClr">
                <a:tint val="83000"/>
                <a:satMod val="200000"/>
              </a:schemeClr>
            </a:gs>
          </a:gsLst>
          <a:lin ang="13000000" scaled="0"/>
        </a:gradFill>
        <a:gradFill rotWithShape="1">
          <a:gsLst>
            <a:gs pos="0">
              <a:schemeClr val="phClr">
                <a:tint val="78000"/>
                <a:satMod val="220000"/>
              </a:schemeClr>
            </a:gs>
            <a:gs pos="100000">
              <a:schemeClr val="phClr">
                <a:shade val="35000"/>
                <a:satMod val="155000"/>
              </a:schemeClr>
            </a:gs>
          </a:gsLst>
          <a:path path="circle">
            <a:fillToRect l="60000" t="50000" r="4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2023-01-01T00:00:00</PublishDate>
  <Abstract/>
  <CompanyAddress>2100 S Kensington Dr, Suite 3</CompanyAddress>
  <CompanyPhone>(920)364-9746</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9D7DB26-528E-4167-A7D0-6E1DF1DB1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Pages>
  <Words>2347</Words>
  <Characters>13378</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Title Insurance and Settlement Company Best Practices</vt:lpstr>
    </vt:vector>
  </TitlesOfParts>
  <Company>The Title Exchange</Company>
  <LinksUpToDate>false</LinksUpToDate>
  <CharactersWithSpaces>15694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Insurance and Settlement Company Best Practices</dc:title>
  <dc:creator>Damien Novak</dc:creator>
  <cp:lastModifiedBy>Cindy Budiac</cp:lastModifiedBy>
  <cp:revision>4</cp:revision>
  <cp:lastPrinted>2015-05-22T20:26:00Z</cp:lastPrinted>
  <dcterms:created xsi:type="dcterms:W3CDTF">2023-03-10T16:35:00Z</dcterms:created>
  <dcterms:modified xsi:type="dcterms:W3CDTF">2023-03-10T17:38:00Z</dcterms:modified>
</cp:coreProperties>
</file>