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35437" w:rsidRDefault="00B34372" w:rsidP="00B34372">
      <w:r>
        <w:rPr>
          <w:rFonts w:cstheme="minorHAnsi"/>
          <w:noProof/>
          <w:sz w:val="24"/>
          <w:szCs w:val="24"/>
          <w:lang w:eastAsia="es-CL"/>
        </w:rPr>
        <w:drawing>
          <wp:inline distT="0" distB="0" distL="0" distR="0">
            <wp:extent cx="1327022" cy="1176793"/>
            <wp:effectExtent l="0" t="0" r="6985" b="4445"/>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codelco logo.png"/>
                    <pic:cNvPicPr/>
                  </pic:nvPicPr>
                  <pic:blipFill rotWithShape="1">
                    <a:blip r:embed="rId5">
                      <a:extLst>
                        <a:ext uri="{28A0092B-C50C-407E-A947-70E740481C1C}">
                          <a14:useLocalDpi xmlns:a14="http://schemas.microsoft.com/office/drawing/2010/main" val="0"/>
                        </a:ext>
                      </a:extLst>
                    </a:blip>
                    <a:srcRect l="18125" t="851" r="18651" b="-971"/>
                    <a:stretch/>
                  </pic:blipFill>
                  <pic:spPr bwMode="auto">
                    <a:xfrm>
                      <a:off x="0" y="0"/>
                      <a:ext cx="1416390" cy="1256044"/>
                    </a:xfrm>
                    <a:prstGeom prst="rect">
                      <a:avLst/>
                    </a:prstGeom>
                    <a:ln>
                      <a:noFill/>
                    </a:ln>
                    <a:extLst>
                      <a:ext uri="{53640926-AAD7-44D8-BBD7-CCE9431645EC}">
                        <a14:shadowObscured xmlns:a14="http://schemas.microsoft.com/office/drawing/2010/main"/>
                      </a:ext>
                    </a:extLst>
                  </pic:spPr>
                </pic:pic>
              </a:graphicData>
            </a:graphic>
          </wp:inline>
        </w:drawing>
      </w:r>
      <w:r>
        <w:tab/>
      </w:r>
      <w:r>
        <w:tab/>
      </w:r>
      <w:r>
        <w:tab/>
      </w:r>
      <w:r>
        <w:tab/>
      </w:r>
      <w:r>
        <w:tab/>
      </w:r>
      <w:r>
        <w:tab/>
      </w:r>
      <w:r>
        <w:tab/>
      </w:r>
      <w:r>
        <w:rPr>
          <w:rFonts w:cstheme="minorHAnsi"/>
          <w:noProof/>
          <w:sz w:val="24"/>
          <w:szCs w:val="24"/>
          <w:lang w:eastAsia="es-CL"/>
        </w:rPr>
        <w:drawing>
          <wp:inline distT="0" distB="0" distL="0" distR="0" wp14:anchorId="2B14D983" wp14:editId="59E93574">
            <wp:extent cx="1250203" cy="1286441"/>
            <wp:effectExtent l="0" t="0" r="7620" b="952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tc.png"/>
                    <pic:cNvPicPr/>
                  </pic:nvPicPr>
                  <pic:blipFill>
                    <a:blip r:embed="rId6">
                      <a:extLst>
                        <a:ext uri="{28A0092B-C50C-407E-A947-70E740481C1C}">
                          <a14:useLocalDpi xmlns:a14="http://schemas.microsoft.com/office/drawing/2010/main" val="0"/>
                        </a:ext>
                      </a:extLst>
                    </a:blip>
                    <a:stretch>
                      <a:fillRect/>
                    </a:stretch>
                  </pic:blipFill>
                  <pic:spPr>
                    <a:xfrm>
                      <a:off x="0" y="0"/>
                      <a:ext cx="1270788" cy="1307623"/>
                    </a:xfrm>
                    <a:prstGeom prst="rect">
                      <a:avLst/>
                    </a:prstGeom>
                  </pic:spPr>
                </pic:pic>
              </a:graphicData>
            </a:graphic>
          </wp:inline>
        </w:drawing>
      </w:r>
    </w:p>
    <w:p w:rsidR="00B34372" w:rsidRPr="00B94D3E" w:rsidRDefault="00B34372" w:rsidP="00B34372">
      <w:pPr>
        <w:jc w:val="center"/>
        <w:rPr>
          <w:b/>
          <w:bCs/>
          <w:sz w:val="28"/>
        </w:rPr>
      </w:pPr>
      <w:r w:rsidRPr="00B94D3E">
        <w:rPr>
          <w:b/>
          <w:bCs/>
          <w:sz w:val="28"/>
        </w:rPr>
        <w:t>FTC PONE FIN A LAS MOVILIZACIONES Y ACUERDA CON CODELCO INICAR MESA DE TRABAJO EN VENTANAS</w:t>
      </w:r>
    </w:p>
    <w:p w:rsidR="00B34372" w:rsidRPr="00B94D3E" w:rsidRDefault="00B34372" w:rsidP="00B34372">
      <w:pPr>
        <w:jc w:val="both"/>
        <w:rPr>
          <w:bCs/>
          <w:i/>
        </w:rPr>
      </w:pPr>
      <w:r w:rsidRPr="00B94D3E">
        <w:rPr>
          <w:bCs/>
          <w:i/>
        </w:rPr>
        <w:t xml:space="preserve">Los dirigentes y la empresa formarán una mesa de trabajo para abordar el futuro de la división y asegurar un convenio de transición justa para el proceso. </w:t>
      </w:r>
    </w:p>
    <w:p w:rsidR="00B34372" w:rsidRDefault="00B34372" w:rsidP="00B34372">
      <w:pPr>
        <w:jc w:val="both"/>
      </w:pPr>
      <w:r w:rsidRPr="00B94D3E">
        <w:rPr>
          <w:b/>
        </w:rPr>
        <w:t>Santiago, 23 de junio de 2022.-</w:t>
      </w:r>
      <w:r>
        <w:t xml:space="preserve"> Un valioso acuerdo logró este mediodía la mesa conformada por la Federación de Trabajadores del Cobre, a través de su Consejo Directivo Nacional y Codelco, representada por su presidente ejecutivo (s), André Sougarret, en torno a las movilizaciones desarrolladas por el acuerdo del directorio de la estatal de preparar el cese de la fundición de Ventanas. </w:t>
      </w:r>
    </w:p>
    <w:p w:rsidR="00B34372" w:rsidRDefault="00B34372" w:rsidP="00B34372">
      <w:pPr>
        <w:jc w:val="both"/>
      </w:pPr>
      <w:r>
        <w:t xml:space="preserve">La administración y los dirigentes sindicales convinieron establecer como principio de diálogo el cuidado de la salud de los trabajadores(as), de las comunidades donde se insertan las operaciones, la protección del medioambiente, así como el resguardo de la empleabilidad, junto al potenciamiento de Codelco como empresa pública. </w:t>
      </w:r>
    </w:p>
    <w:p w:rsidR="00B34372" w:rsidRDefault="00B34372" w:rsidP="00B34372">
      <w:pPr>
        <w:jc w:val="both"/>
      </w:pPr>
      <w:r>
        <w:t xml:space="preserve">Sobre esta base acordaron la formación de una mesa de trabajo en la División Ventanas, integrada por sus dirigentes sindicales y los representantes de la empresa, instancia que contará con el respaldo de la Federación de Trabajadores del Cobre, la cual abordará los escenarios del cese de la fundición, que está sujeto a la modificación de la Ley 19.993, con el objeto de asegurar una transición justa para los trabajadores(as). También se consideró una instancia para abordar la situación de las empresas contratistas y sus trabajadores(as) que prestan servicios en el proceso de fundición de División Ventanas. </w:t>
      </w:r>
    </w:p>
    <w:p w:rsidR="00B34372" w:rsidRDefault="00B34372" w:rsidP="00B34372">
      <w:pPr>
        <w:jc w:val="both"/>
      </w:pPr>
      <w:r>
        <w:t xml:space="preserve">La voluntad de ambas partes se concretó luego de que la Corporación ratificara su compromiso de dar continuidad a la División Ventanas potenciando su refinería, en lo que se incluye las inversiones necesarias para su sostenibilidad operacional, con proyectos como el desarrollo de un horno de tratamiento de </w:t>
      </w:r>
      <w:proofErr w:type="spellStart"/>
      <w:r w:rsidRPr="00A7548A">
        <w:rPr>
          <w:i/>
        </w:rPr>
        <w:t>scrap</w:t>
      </w:r>
      <w:proofErr w:type="spellEnd"/>
      <w:r>
        <w:t xml:space="preserve">. </w:t>
      </w:r>
    </w:p>
    <w:p w:rsidR="00B34372" w:rsidRDefault="00B34372" w:rsidP="00B34372">
      <w:pPr>
        <w:jc w:val="both"/>
      </w:pPr>
      <w:r>
        <w:t xml:space="preserve">Andres Sougarret destacó que este compromiso obedece a los lineamientos del plan estratégico de la compañía, “hemos relevado una vez más que potenciaremos a las demás fundiciones de Codelco y a todas sus refinerías, porque es un proceso crucial para nuestro plan de negocios”. </w:t>
      </w:r>
    </w:p>
    <w:p w:rsidR="00B34372" w:rsidRDefault="00B34372" w:rsidP="00B34372">
      <w:pPr>
        <w:jc w:val="both"/>
      </w:pPr>
      <w:r>
        <w:t xml:space="preserve">El diálogo desarrollado esta jornada permitió dar término a las movilizaciones convocadas por la FTC, que fueron comprendidas por la empresa ya que buscaban resguardar los legítimos intereses de los trabajadores(as) y se desarrollaron sin afectar la seguridad de las personas ni las instalaciones, por lo que no amerita acciones por parte de la compañía ni de sus divisiones. “Hemos cumplido el mandato que nos han entregado las bases de resguardar la empleabilidad de los trabajadores y </w:t>
      </w:r>
      <w:r>
        <w:lastRenderedPageBreak/>
        <w:t xml:space="preserve">trabajadoras de Ventanas, por lo que damos por finalizadas nuestras movilizaciones para favorecer el camino del diálogo”. </w:t>
      </w:r>
    </w:p>
    <w:p w:rsidR="00B34372" w:rsidRDefault="00B34372" w:rsidP="00B34372">
      <w:pPr>
        <w:jc w:val="both"/>
      </w:pPr>
      <w:r>
        <w:t xml:space="preserve">Los representantes de la FTC y la empresa acordaron retomar las comisiones de trabajo para avanzar en el relacionamiento y la construcción de respuesta a los desafíos de Codelco, considerando como referencia el “Pacto Estratégico por Chile”. </w:t>
      </w:r>
    </w:p>
    <w:p w:rsidR="00B34372" w:rsidRDefault="00B34372" w:rsidP="00B34372">
      <w:pPr>
        <w:jc w:val="both"/>
      </w:pPr>
      <w:r>
        <w:t>Igualmente, hubo acuerdo en valorar el anuncio histórico realizado ayer por el Gobierno para la reinversión del 30% de las utilidades que permitirán financiar la cartera de proyectos de Codelco cuidando el balance fina</w:t>
      </w:r>
      <w:bookmarkStart w:id="0" w:name="_GoBack"/>
      <w:bookmarkEnd w:id="0"/>
      <w:r>
        <w:t xml:space="preserve">nciero de la compañía. </w:t>
      </w:r>
    </w:p>
    <w:p w:rsidR="00B34372" w:rsidRPr="009641F1" w:rsidRDefault="00B34372" w:rsidP="00B34372">
      <w:pPr>
        <w:spacing w:after="0" w:line="240" w:lineRule="auto"/>
        <w:jc w:val="right"/>
        <w:rPr>
          <w:rFonts w:cstheme="minorHAnsi"/>
          <w:b/>
          <w:bCs/>
          <w:szCs w:val="24"/>
          <w:lang w:eastAsia="es-CL"/>
        </w:rPr>
      </w:pPr>
      <w:r w:rsidRPr="009641F1">
        <w:rPr>
          <w:rFonts w:cstheme="minorHAnsi"/>
          <w:b/>
          <w:bCs/>
          <w:szCs w:val="24"/>
          <w:lang w:eastAsia="es-CL"/>
        </w:rPr>
        <w:t>Codelco</w:t>
      </w:r>
    </w:p>
    <w:p w:rsidR="00B34372" w:rsidRDefault="00B34372" w:rsidP="00B34372"/>
    <w:p w:rsidR="00B34372" w:rsidRDefault="00B34372" w:rsidP="00B34372"/>
    <w:sectPr w:rsidR="00B34372">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4372"/>
    <w:rsid w:val="00735437"/>
    <w:rsid w:val="00B34372"/>
    <w:rsid w:val="00B52C2D"/>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3177287-3B07-4941-B58E-99B1AE6F78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0F732E3-E016-4A13-A621-E3F2E70E6B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2</Pages>
  <Words>506</Words>
  <Characters>2785</Characters>
  <Application>Microsoft Office Word</Application>
  <DocSecurity>0</DocSecurity>
  <Lines>23</Lines>
  <Paragraphs>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3285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Aravena Bolívar Pamela (Codelco-Casa Matriz)</dc:creator>
  <cp:keywords/>
  <dc:description/>
  <cp:lastModifiedBy>Aravena Bolívar Pamela (Codelco-Casa Matriz)</cp:lastModifiedBy>
  <cp:revision>1</cp:revision>
  <dcterms:created xsi:type="dcterms:W3CDTF">2022-06-23T18:58:00Z</dcterms:created>
  <dcterms:modified xsi:type="dcterms:W3CDTF">2022-06-23T19:05:00Z</dcterms:modified>
</cp:coreProperties>
</file>