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4"/>
        <w:gridCol w:w="5182"/>
        <w:gridCol w:w="937"/>
        <w:gridCol w:w="810"/>
        <w:gridCol w:w="1621"/>
      </w:tblGrid>
      <w:tr w:rsidR="00726316" w:rsidRPr="0067336A" w:rsidTr="00B2508B">
        <w:trPr>
          <w:trHeight w:val="247"/>
        </w:trPr>
        <w:tc>
          <w:tcPr>
            <w:tcW w:w="914" w:type="dxa"/>
            <w:vMerge w:val="restart"/>
            <w:shd w:val="clear" w:color="auto" w:fill="auto"/>
            <w:vAlign w:val="center"/>
          </w:tcPr>
          <w:p w:rsidR="00785DE4" w:rsidRDefault="00785DE4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85DE4" w:rsidRDefault="00785DE4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85DE4" w:rsidRDefault="00785DE4" w:rsidP="00785DE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26316" w:rsidRPr="0067336A" w:rsidRDefault="00785DE4" w:rsidP="00785DE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</w:t>
            </w:r>
            <w:r w:rsidR="00726316" w:rsidRPr="0067336A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:rsidR="00726316" w:rsidRPr="0067336A" w:rsidRDefault="00726316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ШАЛГУУР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726316" w:rsidRPr="0067336A" w:rsidRDefault="00726316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Шинжээчийн үнэлгээ</w:t>
            </w:r>
          </w:p>
        </w:tc>
        <w:tc>
          <w:tcPr>
            <w:tcW w:w="1621" w:type="dxa"/>
          </w:tcPr>
          <w:p w:rsidR="00726316" w:rsidRPr="0067336A" w:rsidRDefault="00BF6E45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726316" w:rsidRPr="0067336A" w:rsidTr="00B2508B">
        <w:trPr>
          <w:cantSplit/>
          <w:trHeight w:val="1316"/>
        </w:trPr>
        <w:tc>
          <w:tcPr>
            <w:tcW w:w="914" w:type="dxa"/>
            <w:vMerge/>
            <w:shd w:val="clear" w:color="auto" w:fill="A8D08D" w:themeFill="accent6" w:themeFillTint="99"/>
          </w:tcPr>
          <w:p w:rsidR="00726316" w:rsidRPr="0067336A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82" w:type="dxa"/>
            <w:vMerge/>
            <w:shd w:val="clear" w:color="auto" w:fill="auto"/>
          </w:tcPr>
          <w:p w:rsidR="00726316" w:rsidRPr="0067336A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7" w:type="dxa"/>
            <w:shd w:val="clear" w:color="auto" w:fill="auto"/>
            <w:textDirection w:val="btLr"/>
          </w:tcPr>
          <w:p w:rsidR="00726316" w:rsidRPr="0067336A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Авбал зохих дээд  оноо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726316" w:rsidRPr="0067336A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Авсан оноо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621" w:type="dxa"/>
            <w:textDirection w:val="btLr"/>
          </w:tcPr>
          <w:p w:rsidR="00726316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6316" w:rsidRPr="0067336A" w:rsidTr="00726316">
        <w:trPr>
          <w:cantSplit/>
          <w:trHeight w:val="388"/>
        </w:trPr>
        <w:tc>
          <w:tcPr>
            <w:tcW w:w="7843" w:type="dxa"/>
            <w:gridSpan w:val="4"/>
            <w:shd w:val="clear" w:color="auto" w:fill="FFD966" w:themeFill="accent4" w:themeFillTint="99"/>
          </w:tcPr>
          <w:p w:rsidR="00726316" w:rsidRPr="00D20D32" w:rsidRDefault="00726316" w:rsidP="007E386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15311">
              <w:rPr>
                <w:rFonts w:ascii="Arial" w:hAnsi="Arial" w:cs="Arial"/>
                <w:sz w:val="24"/>
                <w:szCs w:val="24"/>
                <w:lang w:val="mn-MN"/>
              </w:rPr>
              <w:t>ЕРӨНХИЙ ШАЛГУУР</w:t>
            </w:r>
          </w:p>
        </w:tc>
        <w:tc>
          <w:tcPr>
            <w:tcW w:w="1621" w:type="dxa"/>
            <w:shd w:val="clear" w:color="auto" w:fill="FFD966" w:themeFill="accent4" w:themeFillTint="99"/>
          </w:tcPr>
          <w:p w:rsidR="00726316" w:rsidRPr="00D15311" w:rsidRDefault="00726316" w:rsidP="00B915D3">
            <w:pPr>
              <w:pStyle w:val="ListParagrap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6316" w:rsidRPr="0067336A" w:rsidTr="00B2508B">
        <w:trPr>
          <w:trHeight w:val="274"/>
        </w:trPr>
        <w:tc>
          <w:tcPr>
            <w:tcW w:w="914" w:type="dxa"/>
            <w:vAlign w:val="center"/>
          </w:tcPr>
          <w:p w:rsidR="00726316" w:rsidRPr="00500EEB" w:rsidRDefault="00726316" w:rsidP="00906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182" w:type="dxa"/>
            <w:vAlign w:val="center"/>
          </w:tcPr>
          <w:p w:rsidR="00726316" w:rsidRPr="00634B2E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Стандартын болон э</w:t>
            </w:r>
            <w:r w:rsidRPr="00811F07">
              <w:rPr>
                <w:rFonts w:ascii="Arial" w:hAnsi="Arial" w:cs="Arial"/>
                <w:sz w:val="24"/>
                <w:szCs w:val="24"/>
              </w:rPr>
              <w:t xml:space="preserve">рүүл ахуйн шаардлага хангасан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үйлчилгээний зориулалт бүхий </w:t>
            </w:r>
            <w:r w:rsidRPr="00811F07">
              <w:rPr>
                <w:rFonts w:ascii="Arial" w:hAnsi="Arial" w:cs="Arial"/>
                <w:sz w:val="24"/>
                <w:szCs w:val="24"/>
              </w:rPr>
              <w:t>байртай. 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Өрөөний тоо болон хэмжээ стандарт шаардлага хангасан байх, т</w:t>
            </w:r>
            <w:r w:rsidRPr="00811F07">
              <w:rPr>
                <w:rFonts w:ascii="Arial" w:hAnsi="Arial" w:cs="Arial"/>
                <w:sz w:val="24"/>
                <w:szCs w:val="24"/>
              </w:rPr>
              <w:t xml:space="preserve">өвлөрсөн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болон хэсгийн </w:t>
            </w:r>
            <w:r w:rsidRPr="00811F07">
              <w:rPr>
                <w:rFonts w:ascii="Arial" w:hAnsi="Arial" w:cs="Arial"/>
                <w:sz w:val="24"/>
                <w:szCs w:val="24"/>
              </w:rPr>
              <w:t>усан хангамжтай, хана тааз нь угааж, цэвэрлэх,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811F07">
              <w:rPr>
                <w:rFonts w:ascii="Arial" w:hAnsi="Arial" w:cs="Arial"/>
                <w:sz w:val="24"/>
                <w:szCs w:val="24"/>
              </w:rPr>
              <w:t>халдваргүйжүүлэх шаардлага хангасан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37" w:type="dxa"/>
            <w:vAlign w:val="center"/>
          </w:tcPr>
          <w:p w:rsidR="00726316" w:rsidRPr="00345AB2" w:rsidRDefault="00F75A40" w:rsidP="009D315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26316" w:rsidRPr="0067336A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726316" w:rsidRPr="0067336A" w:rsidRDefault="00726316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74"/>
        </w:trPr>
        <w:tc>
          <w:tcPr>
            <w:tcW w:w="914" w:type="dxa"/>
            <w:vAlign w:val="center"/>
          </w:tcPr>
          <w:p w:rsidR="00F75A40" w:rsidRPr="00387556" w:rsidRDefault="00F75A40" w:rsidP="00F75A40">
            <w:pPr>
              <w:jc w:val="center"/>
              <w:rPr>
                <w:lang w:val="mn-MN"/>
              </w:rPr>
            </w:pPr>
            <w:r w:rsidRPr="0066325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2" w:type="dxa"/>
            <w:vAlign w:val="center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Тухайн чиглэлээр үндсэн болон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 xml:space="preserve"> төрөлжсөн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нарийн 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мэргэжил эз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мшсэн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мэргэжлийн үйл ажиллагаа эрхлэх зөвшөөрөл бүхий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эмнэлгийн мэргэжилт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нээр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стандартын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дагуу </w:t>
            </w: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хангагдсан байх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F75A40" w:rsidRDefault="00F75A40" w:rsidP="00F75A40">
            <w:pPr>
              <w:jc w:val="center"/>
            </w:pPr>
            <w:r w:rsidRPr="00175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91"/>
        </w:trPr>
        <w:tc>
          <w:tcPr>
            <w:tcW w:w="914" w:type="dxa"/>
            <w:vAlign w:val="center"/>
          </w:tcPr>
          <w:p w:rsidR="00F75A40" w:rsidRPr="00387556" w:rsidRDefault="00F75A40" w:rsidP="00F75A40">
            <w:pPr>
              <w:jc w:val="center"/>
              <w:rPr>
                <w:lang w:val="mn-MN"/>
              </w:rPr>
            </w:pPr>
            <w:r w:rsidRPr="0066325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2" w:type="dxa"/>
            <w:vAlign w:val="center"/>
          </w:tcPr>
          <w:p w:rsidR="00F75A40" w:rsidRPr="0032361E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4B">
              <w:rPr>
                <w:rFonts w:ascii="Arial" w:hAnsi="Arial" w:cs="Arial"/>
                <w:sz w:val="24"/>
                <w:szCs w:val="24"/>
              </w:rPr>
              <w:t xml:space="preserve">Өөрийн байгууллагын үйл ажиллагааны чиглэлд тохирсон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оношилгоо, эмчилгээний жагсаалтыг гаргаж баталгаажуулах ба жагсаалтад орсон үйлчилгээний холбогдох батлагдсан </w:t>
            </w:r>
            <w:r>
              <w:rPr>
                <w:rFonts w:ascii="Arial" w:hAnsi="Arial" w:cs="Arial"/>
                <w:sz w:val="24"/>
                <w:szCs w:val="24"/>
              </w:rPr>
              <w:t>стандарт, удирдамжий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 хэвлэмэл байдлаар бэлдсэн байх /хэрэв Монгол улсад батлагдсан стандарт, удирдамж байхгүй тохиолдолд мэргэжлийн нийгэмлэг болон олон улсад нэвтэрсэн стандарт, удирдамжийг орчуулж, захиралаар батлуулан мөрдөнө/</w:t>
            </w:r>
          </w:p>
        </w:tc>
        <w:tc>
          <w:tcPr>
            <w:tcW w:w="937" w:type="dxa"/>
            <w:vAlign w:val="center"/>
          </w:tcPr>
          <w:p w:rsidR="00F75A40" w:rsidRDefault="00F75A40" w:rsidP="00F75A40">
            <w:pPr>
              <w:jc w:val="center"/>
            </w:pPr>
            <w:r w:rsidRPr="00175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74"/>
        </w:trPr>
        <w:tc>
          <w:tcPr>
            <w:tcW w:w="914" w:type="dxa"/>
            <w:vAlign w:val="center"/>
          </w:tcPr>
          <w:p w:rsidR="00F75A40" w:rsidRPr="005D467E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1.4</w:t>
            </w:r>
          </w:p>
        </w:tc>
        <w:tc>
          <w:tcPr>
            <w:tcW w:w="5182" w:type="dxa"/>
            <w:vAlign w:val="center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C3A">
              <w:rPr>
                <w:rFonts w:ascii="Arial" w:hAnsi="Arial" w:cs="Arial"/>
                <w:sz w:val="24"/>
                <w:szCs w:val="24"/>
                <w:lang w:val="mn-MN"/>
              </w:rPr>
              <w:t>Онош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 w:rsidRPr="00E61C3A">
              <w:rPr>
                <w:rFonts w:ascii="Arial" w:hAnsi="Arial" w:cs="Arial"/>
                <w:sz w:val="24"/>
                <w:szCs w:val="24"/>
                <w:lang w:val="mn-MN"/>
              </w:rPr>
              <w:t xml:space="preserve">лгоо, эмчилгэээний жагсаалтад орсон үйлчилгээг явуулахад шаардлагатай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тоног төхөөрөмжөөр хангагдсан байх ба </w:t>
            </w:r>
            <w:r w:rsidRPr="0032361E">
              <w:rPr>
                <w:rFonts w:ascii="Arial" w:hAnsi="Arial" w:cs="Arial"/>
                <w:sz w:val="24"/>
                <w:szCs w:val="24"/>
              </w:rPr>
              <w:t xml:space="preserve">тоног төхөөрөмж бүр нь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шиглах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, халдваргүйжүүлэх заавар, чанарын баталгааны хуудастай байх /Заавар нь Монгол хэл дээр байх ба тоног төхөөрөмж тус бүрийн дэргэд тогтоосон байна/ </w:t>
            </w:r>
          </w:p>
        </w:tc>
        <w:tc>
          <w:tcPr>
            <w:tcW w:w="937" w:type="dxa"/>
            <w:vAlign w:val="center"/>
          </w:tcPr>
          <w:p w:rsidR="00F75A40" w:rsidRDefault="00F75A40" w:rsidP="00F75A40">
            <w:pPr>
              <w:jc w:val="center"/>
            </w:pPr>
            <w:r w:rsidRPr="00175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74"/>
        </w:trPr>
        <w:tc>
          <w:tcPr>
            <w:tcW w:w="914" w:type="dxa"/>
            <w:vAlign w:val="center"/>
          </w:tcPr>
          <w:p w:rsidR="00F75A40" w:rsidRPr="00387556" w:rsidRDefault="00F75A40" w:rsidP="00F75A40">
            <w:pPr>
              <w:jc w:val="center"/>
              <w:rPr>
                <w:lang w:val="mn-MN"/>
              </w:rPr>
            </w:pPr>
            <w:r w:rsidRPr="0066325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2" w:type="dxa"/>
            <w:vAlign w:val="center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46627">
              <w:rPr>
                <w:rFonts w:ascii="Arial" w:hAnsi="Arial" w:cs="Arial"/>
                <w:sz w:val="24"/>
                <w:szCs w:val="24"/>
              </w:rPr>
              <w:t xml:space="preserve">Эмнэлгийн үйл ажиллагааны онцлогоос хамааран яаралтай тусламж үйлчилгээ үзүүлэхэд шаардагдах эм, багаж хэрэгслийн бэлэн байдлыг хангасан түүнийг </w:t>
            </w:r>
            <w:r w:rsidRPr="00C46627">
              <w:rPr>
                <w:rFonts w:ascii="Arial" w:hAnsi="Arial" w:cs="Arial"/>
                <w:sz w:val="24"/>
                <w:szCs w:val="24"/>
                <w:lang w:val="mn-MN"/>
              </w:rPr>
              <w:t>хэрэглэх чадвартай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байх </w:t>
            </w:r>
            <w:r w:rsidRPr="00C4662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ЭМС-ын 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 xml:space="preserve"> оны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388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 xml:space="preserve"> дугаар тушаал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63032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Жагсаалтад амбу заавал байх ба жагсаалтыг захирал баталсан байна/</w:t>
            </w:r>
          </w:p>
        </w:tc>
        <w:tc>
          <w:tcPr>
            <w:tcW w:w="937" w:type="dxa"/>
            <w:vAlign w:val="center"/>
          </w:tcPr>
          <w:p w:rsidR="00F75A40" w:rsidRDefault="00F75A40" w:rsidP="00F75A40">
            <w:pPr>
              <w:jc w:val="center"/>
            </w:pPr>
            <w:r w:rsidRPr="00175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6172D7" w:rsidRDefault="006172D7"/>
    <w:p w:rsidR="00812738" w:rsidRDefault="00812738">
      <w:r w:rsidRPr="00812738">
        <w:t xml:space="preserve">Ажлын байранд хуулийн этгээдийг төлөөлсөн хүний гарын үсэг    </w:t>
      </w:r>
      <w:r w:rsidR="00B50760">
        <w:rPr>
          <w:lang w:val="mn-MN"/>
        </w:rPr>
        <w:t xml:space="preserve">                 </w:t>
      </w:r>
      <w:r w:rsidRPr="00812738">
        <w:t xml:space="preserve">              /     </w:t>
      </w:r>
      <w:r w:rsidR="00B50760">
        <w:rPr>
          <w:lang w:val="mn-MN"/>
        </w:rPr>
        <w:t xml:space="preserve">           </w:t>
      </w:r>
      <w:r w:rsidRPr="00812738">
        <w:t xml:space="preserve">         /</w:t>
      </w:r>
    </w:p>
    <w:p w:rsidR="006172D7" w:rsidRDefault="006172D7"/>
    <w:tbl>
      <w:tblPr>
        <w:tblStyle w:val="TableGrid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4"/>
        <w:gridCol w:w="5182"/>
        <w:gridCol w:w="851"/>
        <w:gridCol w:w="896"/>
        <w:gridCol w:w="1621"/>
      </w:tblGrid>
      <w:tr w:rsidR="007E386B" w:rsidRPr="0067336A" w:rsidTr="00B2508B">
        <w:trPr>
          <w:trHeight w:val="246"/>
        </w:trPr>
        <w:tc>
          <w:tcPr>
            <w:tcW w:w="914" w:type="dxa"/>
            <w:vMerge w:val="restart"/>
            <w:shd w:val="clear" w:color="auto" w:fill="auto"/>
            <w:vAlign w:val="center"/>
          </w:tcPr>
          <w:p w:rsidR="007E386B" w:rsidRPr="0067336A" w:rsidRDefault="00EA6C8A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 </w:t>
            </w:r>
            <w:r w:rsidR="007E386B" w:rsidRPr="0067336A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:rsidR="007E386B" w:rsidRPr="0067336A" w:rsidRDefault="007E386B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ШАЛГУУР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7E386B" w:rsidRPr="0067336A" w:rsidRDefault="007E386B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7336A">
              <w:rPr>
                <w:rFonts w:ascii="Arial" w:hAnsi="Arial" w:cs="Arial"/>
                <w:sz w:val="24"/>
                <w:szCs w:val="24"/>
                <w:lang w:val="mn-MN"/>
              </w:rPr>
              <w:t>Шинжээчийн үнэлгээ</w:t>
            </w:r>
          </w:p>
        </w:tc>
        <w:tc>
          <w:tcPr>
            <w:tcW w:w="1621" w:type="dxa"/>
            <w:shd w:val="clear" w:color="auto" w:fill="auto"/>
          </w:tcPr>
          <w:p w:rsidR="007E386B" w:rsidRPr="0067336A" w:rsidRDefault="007E386B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7E386B" w:rsidRPr="0067336A" w:rsidTr="00B2508B">
        <w:trPr>
          <w:cantSplit/>
          <w:trHeight w:val="1306"/>
        </w:trPr>
        <w:tc>
          <w:tcPr>
            <w:tcW w:w="914" w:type="dxa"/>
            <w:vMerge/>
            <w:shd w:val="clear" w:color="auto" w:fill="A8D08D" w:themeFill="accent6" w:themeFillTint="99"/>
          </w:tcPr>
          <w:p w:rsidR="007E386B" w:rsidRPr="0067336A" w:rsidRDefault="007E386B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82" w:type="dxa"/>
            <w:vMerge/>
            <w:shd w:val="clear" w:color="auto" w:fill="auto"/>
          </w:tcPr>
          <w:p w:rsidR="007E386B" w:rsidRPr="0067336A" w:rsidRDefault="007E386B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386B" w:rsidRPr="0067336A" w:rsidRDefault="00345AB2" w:rsidP="000F28A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Авбал зохих</w:t>
            </w:r>
            <w:r w:rsidR="000F28AD">
              <w:rPr>
                <w:rFonts w:ascii="Arial" w:hAnsi="Arial" w:cs="Arial"/>
                <w:sz w:val="24"/>
                <w:szCs w:val="24"/>
                <w:lang w:val="mn-MN"/>
              </w:rPr>
              <w:t xml:space="preserve"> дээд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оноо</w:t>
            </w:r>
          </w:p>
        </w:tc>
        <w:tc>
          <w:tcPr>
            <w:tcW w:w="896" w:type="dxa"/>
            <w:shd w:val="clear" w:color="auto" w:fill="auto"/>
            <w:textDirection w:val="btLr"/>
            <w:vAlign w:val="center"/>
          </w:tcPr>
          <w:p w:rsidR="007E386B" w:rsidRPr="0067336A" w:rsidRDefault="00345AB2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1621" w:type="dxa"/>
            <w:shd w:val="clear" w:color="auto" w:fill="auto"/>
            <w:textDirection w:val="btLr"/>
          </w:tcPr>
          <w:p w:rsidR="007E386B" w:rsidRPr="0067336A" w:rsidRDefault="007E386B" w:rsidP="007E386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E386B" w:rsidRPr="0067336A" w:rsidTr="00197FC2">
        <w:trPr>
          <w:trHeight w:val="386"/>
        </w:trPr>
        <w:tc>
          <w:tcPr>
            <w:tcW w:w="9464" w:type="dxa"/>
            <w:gridSpan w:val="5"/>
            <w:shd w:val="clear" w:color="auto" w:fill="FFD966" w:themeFill="accent4" w:themeFillTint="99"/>
          </w:tcPr>
          <w:p w:rsidR="007E386B" w:rsidRPr="00D20D32" w:rsidRDefault="007E386B" w:rsidP="007E386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15311">
              <w:rPr>
                <w:rFonts w:ascii="Arial" w:hAnsi="Arial" w:cs="Arial"/>
                <w:sz w:val="24"/>
                <w:szCs w:val="24"/>
                <w:lang w:val="mn-MN"/>
              </w:rPr>
              <w:t>ТУСГАЙ ШАЛГУУР</w:t>
            </w:r>
          </w:p>
        </w:tc>
      </w:tr>
      <w:tr w:rsidR="007E386B" w:rsidRPr="0067336A" w:rsidTr="00197FC2">
        <w:trPr>
          <w:trHeight w:val="377"/>
        </w:trPr>
        <w:tc>
          <w:tcPr>
            <w:tcW w:w="9464" w:type="dxa"/>
            <w:gridSpan w:val="5"/>
            <w:shd w:val="clear" w:color="auto" w:fill="F7CAAC" w:themeFill="accent2" w:themeFillTint="66"/>
          </w:tcPr>
          <w:p w:rsidR="007E386B" w:rsidRPr="0067336A" w:rsidRDefault="007E386B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 Клиник /эрсдэл бага/</w:t>
            </w:r>
          </w:p>
        </w:tc>
      </w:tr>
      <w:tr w:rsidR="00F75A40" w:rsidRPr="0067336A" w:rsidTr="00B2508B">
        <w:trPr>
          <w:trHeight w:val="1106"/>
        </w:trPr>
        <w:tc>
          <w:tcPr>
            <w:tcW w:w="914" w:type="dxa"/>
            <w:vAlign w:val="center"/>
          </w:tcPr>
          <w:p w:rsidR="00F75A40" w:rsidRPr="004F2495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.1.1</w:t>
            </w:r>
          </w:p>
        </w:tc>
        <w:tc>
          <w:tcPr>
            <w:tcW w:w="5182" w:type="dxa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17B">
              <w:rPr>
                <w:rFonts w:ascii="Arial" w:hAnsi="Arial" w:cs="Arial"/>
                <w:sz w:val="24"/>
                <w:szCs w:val="24"/>
              </w:rPr>
              <w:t>Өртөлтийн дараах сэргийлэлтийн анхны тусламж үзүүл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59717B">
              <w:rPr>
                <w:rFonts w:ascii="Arial" w:hAnsi="Arial" w:cs="Arial"/>
                <w:sz w:val="24"/>
                <w:szCs w:val="24"/>
              </w:rPr>
              <w:t>хэд шаардлагатай эм,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9717B">
              <w:rPr>
                <w:rFonts w:ascii="Arial" w:hAnsi="Arial" w:cs="Arial"/>
                <w:sz w:val="24"/>
                <w:szCs w:val="24"/>
              </w:rPr>
              <w:t xml:space="preserve">эмнэлгийн хэрэгсэл бүхий цомгоор </w:t>
            </w:r>
            <w:r w:rsidRPr="00630328">
              <w:rPr>
                <w:rFonts w:ascii="Arial" w:hAnsi="Arial" w:cs="Arial"/>
                <w:sz w:val="24"/>
                <w:szCs w:val="24"/>
              </w:rPr>
              <w:t>хангагдсан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63032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МС-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ын 2014 оны 187 дугаар тушаалын 4 дүгээр хавсралтын 2.6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2.1.2</w:t>
            </w:r>
          </w:p>
        </w:tc>
        <w:tc>
          <w:tcPr>
            <w:tcW w:w="5182" w:type="dxa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859">
              <w:rPr>
                <w:rFonts w:ascii="Arial" w:hAnsi="Arial" w:cs="Arial"/>
                <w:sz w:val="24"/>
                <w:szCs w:val="24"/>
              </w:rPr>
              <w:t>Асгарсан, цацагдсан цус, биологийн шингэнийг халдваргүйжүүлэн цэвэрлэх иж бүрдлийг бэлтгэсэн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hAnsi="Arial" w:cs="Arial"/>
                <w:sz w:val="24"/>
                <w:szCs w:val="24"/>
              </w:rPr>
              <w:t>ЭМС-ын 2014 оны 187-р тушаалын 5-р хавсралт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2.1.3</w:t>
            </w:r>
          </w:p>
        </w:tc>
        <w:tc>
          <w:tcPr>
            <w:tcW w:w="5182" w:type="dxa"/>
          </w:tcPr>
          <w:p w:rsidR="00F75A40" w:rsidRPr="00E3453F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C374E">
              <w:rPr>
                <w:rFonts w:ascii="Arial" w:hAnsi="Arial" w:cs="Arial"/>
                <w:sz w:val="24"/>
                <w:szCs w:val="24"/>
              </w:rPr>
              <w:t>Гар угаах дараалал, санамж, анхааруулга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бүхий зурагт хуудсыг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</w:t>
            </w:r>
            <w:r w:rsidRPr="00FC374E">
              <w:rPr>
                <w:rFonts w:ascii="Arial" w:hAnsi="Arial" w:cs="Arial"/>
                <w:sz w:val="24"/>
                <w:szCs w:val="24"/>
              </w:rPr>
              <w:t>бүрийн дэргэд байрлуулсан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н</w:t>
            </w:r>
            <w:r w:rsidRPr="00FC374E">
              <w:rPr>
                <w:rFonts w:ascii="Arial" w:hAnsi="Arial" w:cs="Arial"/>
                <w:sz w:val="24"/>
                <w:szCs w:val="24"/>
              </w:rPr>
              <w:t>янгийн эсрэг шингэн саван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FC374E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 арчих нэг удаагийн </w:t>
            </w:r>
            <w:r w:rsidRPr="00FC374E">
              <w:rPr>
                <w:rFonts w:ascii="Arial" w:hAnsi="Arial" w:cs="Arial"/>
                <w:sz w:val="24"/>
                <w:szCs w:val="24"/>
              </w:rPr>
              <w:t>алчуур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нь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тус бүрт </w:t>
            </w:r>
            <w:r>
              <w:rPr>
                <w:rFonts w:ascii="Arial" w:hAnsi="Arial" w:cs="Arial"/>
                <w:sz w:val="24"/>
                <w:szCs w:val="24"/>
              </w:rPr>
              <w:t>хэрэглэ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дэ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611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2.1.4</w:t>
            </w:r>
          </w:p>
        </w:tc>
        <w:tc>
          <w:tcPr>
            <w:tcW w:w="5182" w:type="dxa"/>
          </w:tcPr>
          <w:p w:rsidR="00F75A40" w:rsidRPr="00F340D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Pr="00F340D8">
              <w:rPr>
                <w:rFonts w:ascii="Arial" w:hAnsi="Arial" w:cs="Arial"/>
                <w:sz w:val="24"/>
                <w:szCs w:val="24"/>
              </w:rPr>
              <w:t xml:space="preserve">алдваргүйтгэл, ариутгалын бодисын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F340D8">
              <w:rPr>
                <w:rFonts w:ascii="Arial" w:hAnsi="Arial" w:cs="Arial"/>
                <w:sz w:val="24"/>
                <w:szCs w:val="24"/>
              </w:rPr>
              <w:t>өөцтэй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бэлтгэх, хэрэглэх заавартай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2.1.5</w:t>
            </w:r>
          </w:p>
        </w:tc>
        <w:tc>
          <w:tcPr>
            <w:tcW w:w="5182" w:type="dxa"/>
          </w:tcPr>
          <w:p w:rsidR="00F75A40" w:rsidRPr="00EF37FD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6260F">
              <w:rPr>
                <w:rFonts w:ascii="Arial" w:hAnsi="Arial" w:cs="Arial"/>
                <w:sz w:val="24"/>
                <w:szCs w:val="24"/>
              </w:rPr>
              <w:t>Халдварын эрсдэл багатай гэмтээгүй арьс салсттай хүрэлцдэг багаж, хэрэгслийг (бумба, ванн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г.м</w:t>
            </w:r>
            <w:r w:rsidRPr="00B6260F">
              <w:rPr>
                <w:rFonts w:ascii="Arial" w:hAnsi="Arial" w:cs="Arial"/>
                <w:sz w:val="24"/>
                <w:szCs w:val="24"/>
              </w:rPr>
              <w:t>) халдваргүйжүүлэх бодистой бүлээн усанд сайтар угааж, цэвэр усаа</w:t>
            </w:r>
            <w:r>
              <w:rPr>
                <w:rFonts w:ascii="Arial" w:hAnsi="Arial" w:cs="Arial"/>
                <w:sz w:val="24"/>
                <w:szCs w:val="24"/>
              </w:rPr>
              <w:t>р зайлж хатаан, халдваргүйтгэ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 тухай заавартай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21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2.1.6</w:t>
            </w:r>
          </w:p>
        </w:tc>
        <w:tc>
          <w:tcPr>
            <w:tcW w:w="5182" w:type="dxa"/>
          </w:tcPr>
          <w:p w:rsidR="00F75A40" w:rsidRPr="00346D69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562F">
              <w:rPr>
                <w:rFonts w:ascii="Arial" w:eastAsia="Times New Roman" w:hAnsi="Arial" w:cs="Arial"/>
                <w:sz w:val="24"/>
                <w:szCs w:val="23"/>
              </w:rPr>
              <w:t xml:space="preserve">Аюултай болон ердийн хог хаягдлыг зориулалтын, таних тэмдэгтэй, 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>ш</w:t>
            </w:r>
            <w:r w:rsidRPr="00AB562F">
              <w:rPr>
                <w:rFonts w:ascii="Arial" w:eastAsia="Times New Roman" w:hAnsi="Arial" w:cs="Arial"/>
                <w:sz w:val="24"/>
                <w:szCs w:val="23"/>
              </w:rPr>
              <w:t>аардлага хангасан уут, саванд ангилан ялгадаг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Аюултай хог хаягдлын хогийн сав нь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таглаатай, хөлөөрөө дарж онгойдог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Хог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хаягдлыг ангилан ялгах заавар, санамжийг байрлуулсан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12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2.1.7</w:t>
            </w:r>
          </w:p>
        </w:tc>
        <w:tc>
          <w:tcPr>
            <w:tcW w:w="5182" w:type="dxa"/>
          </w:tcPr>
          <w:p w:rsidR="00F75A40" w:rsidRPr="00AB562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Эмнэлгийн хог хаягдлын</w:t>
            </w:r>
            <w:r w:rsidRPr="00B6260F">
              <w:rPr>
                <w:rFonts w:ascii="Arial" w:hAnsi="Arial" w:cs="Arial"/>
                <w:sz w:val="24"/>
                <w:szCs w:val="24"/>
              </w:rPr>
              <w:t xml:space="preserve"> гэрээ, хүлээлгэн өгсөн, хүлээн авсан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FA4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E386B" w:rsidRPr="0067336A" w:rsidTr="00197FC2">
        <w:trPr>
          <w:trHeight w:val="449"/>
        </w:trPr>
        <w:tc>
          <w:tcPr>
            <w:tcW w:w="9464" w:type="dxa"/>
            <w:gridSpan w:val="5"/>
            <w:shd w:val="clear" w:color="auto" w:fill="F7CAAC" w:themeFill="accent2" w:themeFillTint="66"/>
          </w:tcPr>
          <w:p w:rsidR="007E386B" w:rsidRPr="0067336A" w:rsidRDefault="007E386B" w:rsidP="007E386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 Клиник /эрсдэл их/</w:t>
            </w:r>
          </w:p>
        </w:tc>
      </w:tr>
      <w:tr w:rsidR="00F75A40" w:rsidRPr="0067336A" w:rsidTr="00B2508B">
        <w:trPr>
          <w:trHeight w:val="1124"/>
        </w:trPr>
        <w:tc>
          <w:tcPr>
            <w:tcW w:w="914" w:type="dxa"/>
            <w:vAlign w:val="center"/>
          </w:tcPr>
          <w:p w:rsidR="00F75A40" w:rsidRPr="004F2495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.2.1</w:t>
            </w:r>
          </w:p>
        </w:tc>
        <w:tc>
          <w:tcPr>
            <w:tcW w:w="5182" w:type="dxa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17B">
              <w:rPr>
                <w:rFonts w:ascii="Arial" w:hAnsi="Arial" w:cs="Arial"/>
                <w:sz w:val="24"/>
                <w:szCs w:val="24"/>
              </w:rPr>
              <w:t>Өртөлтийн дараах сэргийлэлтийн анхны тусламж үзүүл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59717B">
              <w:rPr>
                <w:rFonts w:ascii="Arial" w:hAnsi="Arial" w:cs="Arial"/>
                <w:sz w:val="24"/>
                <w:szCs w:val="24"/>
              </w:rPr>
              <w:t>хэд шаардлагатай эм,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9717B">
              <w:rPr>
                <w:rFonts w:ascii="Arial" w:hAnsi="Arial" w:cs="Arial"/>
                <w:sz w:val="24"/>
                <w:szCs w:val="24"/>
              </w:rPr>
              <w:t xml:space="preserve">эмнэлгийн хэрэгсэл бүхий цомгоор </w:t>
            </w:r>
            <w:r w:rsidRPr="00630328">
              <w:rPr>
                <w:rFonts w:ascii="Arial" w:hAnsi="Arial" w:cs="Arial"/>
                <w:sz w:val="24"/>
                <w:szCs w:val="24"/>
              </w:rPr>
              <w:t>хангагдсан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63032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МС-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ын 2014 оны 187 дугаар тушаалын 4 дүгээр хавсралтын 2.6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1124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2.2.2</w:t>
            </w:r>
          </w:p>
        </w:tc>
        <w:tc>
          <w:tcPr>
            <w:tcW w:w="5182" w:type="dxa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859">
              <w:rPr>
                <w:rFonts w:ascii="Arial" w:hAnsi="Arial" w:cs="Arial"/>
                <w:sz w:val="24"/>
                <w:szCs w:val="24"/>
              </w:rPr>
              <w:t>Асгарсан, цацагдсан цус, биологийн шингэнийг халдваргүйжүүлэн цэвэрлэх иж бүрдлийг бэлтгэсэн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hAnsi="Arial" w:cs="Arial"/>
                <w:sz w:val="24"/>
                <w:szCs w:val="24"/>
              </w:rPr>
              <w:t>ЭМС-ын 2014 оны 187-р тушаалын 5-р хавсралт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2.2.3</w:t>
            </w:r>
          </w:p>
        </w:tc>
        <w:tc>
          <w:tcPr>
            <w:tcW w:w="5182" w:type="dxa"/>
          </w:tcPr>
          <w:p w:rsidR="00F75A40" w:rsidRPr="0059717B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4E">
              <w:rPr>
                <w:rFonts w:ascii="Arial" w:hAnsi="Arial" w:cs="Arial"/>
                <w:sz w:val="24"/>
                <w:szCs w:val="24"/>
              </w:rPr>
              <w:t>Гар угаах дараалал, санамж, анхааруулга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бүхий зурагт хуудсыг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</w:t>
            </w:r>
            <w:r w:rsidRPr="00FC374E">
              <w:rPr>
                <w:rFonts w:ascii="Arial" w:hAnsi="Arial" w:cs="Arial"/>
                <w:sz w:val="24"/>
                <w:szCs w:val="24"/>
              </w:rPr>
              <w:t>бүрийн дэргэд байрлуулсан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н</w:t>
            </w:r>
            <w:r w:rsidRPr="00FC374E">
              <w:rPr>
                <w:rFonts w:ascii="Arial" w:hAnsi="Arial" w:cs="Arial"/>
                <w:sz w:val="24"/>
                <w:szCs w:val="24"/>
              </w:rPr>
              <w:t>янгийн эсрэг шингэн саван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FC374E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 арчих нэг удаагийн </w:t>
            </w:r>
            <w:r w:rsidRPr="00FC374E">
              <w:rPr>
                <w:rFonts w:ascii="Arial" w:hAnsi="Arial" w:cs="Arial"/>
                <w:sz w:val="24"/>
                <w:szCs w:val="24"/>
              </w:rPr>
              <w:t>алчуур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нь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тус бүрт </w:t>
            </w:r>
            <w:r>
              <w:rPr>
                <w:rFonts w:ascii="Arial" w:hAnsi="Arial" w:cs="Arial"/>
                <w:sz w:val="24"/>
                <w:szCs w:val="24"/>
              </w:rPr>
              <w:t>хэрэглэ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дэ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21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2.2.4</w:t>
            </w:r>
          </w:p>
        </w:tc>
        <w:tc>
          <w:tcPr>
            <w:tcW w:w="5182" w:type="dxa"/>
          </w:tcPr>
          <w:p w:rsidR="00F75A40" w:rsidRPr="00F340D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Pr="00F340D8">
              <w:rPr>
                <w:rFonts w:ascii="Arial" w:hAnsi="Arial" w:cs="Arial"/>
                <w:sz w:val="24"/>
                <w:szCs w:val="24"/>
              </w:rPr>
              <w:t xml:space="preserve">алдваргүйтгэл, ариутгалын бодисын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F340D8">
              <w:rPr>
                <w:rFonts w:ascii="Arial" w:hAnsi="Arial" w:cs="Arial"/>
                <w:sz w:val="24"/>
                <w:szCs w:val="24"/>
              </w:rPr>
              <w:t>өөцтэй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бэлтгэх, хэрэглэх заавартай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54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2.2.5</w:t>
            </w:r>
          </w:p>
        </w:tc>
        <w:tc>
          <w:tcPr>
            <w:tcW w:w="5182" w:type="dxa"/>
          </w:tcPr>
          <w:p w:rsidR="00F75A40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6260F">
              <w:rPr>
                <w:rFonts w:ascii="Arial" w:hAnsi="Arial" w:cs="Arial"/>
                <w:sz w:val="24"/>
                <w:szCs w:val="24"/>
              </w:rPr>
              <w:t>Халдварын эрсдэл багатай гэмтээгүй арьс салсттай хүрэлцдэг багаж, хэрэгслийг (бумба, ванн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г.м</w:t>
            </w:r>
            <w:r w:rsidRPr="00B6260F">
              <w:rPr>
                <w:rFonts w:ascii="Arial" w:hAnsi="Arial" w:cs="Arial"/>
                <w:sz w:val="24"/>
                <w:szCs w:val="24"/>
              </w:rPr>
              <w:t>) халдваргүйжүүлэх бодистой бүлээн усанд сайтар угааж, цэвэр усаар зайлж хатаан, халдваргүйтгэ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 заавартай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1124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2.2.6</w:t>
            </w:r>
          </w:p>
        </w:tc>
        <w:tc>
          <w:tcPr>
            <w:tcW w:w="5182" w:type="dxa"/>
          </w:tcPr>
          <w:p w:rsidR="00F75A40" w:rsidRPr="00C11965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562F">
              <w:rPr>
                <w:rFonts w:ascii="Arial" w:eastAsia="Times New Roman" w:hAnsi="Arial" w:cs="Arial"/>
                <w:sz w:val="24"/>
                <w:szCs w:val="23"/>
              </w:rPr>
              <w:t xml:space="preserve">Аюултай болон ердийн хог хаягдлыг зориулалтын, таних тэмдэгтэй, 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>ш</w:t>
            </w:r>
            <w:r w:rsidRPr="00AB562F">
              <w:rPr>
                <w:rFonts w:ascii="Arial" w:eastAsia="Times New Roman" w:hAnsi="Arial" w:cs="Arial"/>
                <w:sz w:val="24"/>
                <w:szCs w:val="23"/>
              </w:rPr>
              <w:t>аардлага хангасан уут, саванд ангилан ялгадаг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Аюултай хог хаягдлын хогийн сав нь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таглаатай, хөлөөрөө дарж онгойдог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Хог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хаягдлыг ангилан ялгах заавар, санамжийг байрлуулсан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94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2.2.7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Эмнэлгийн хог хаягдлын</w:t>
            </w:r>
            <w:r w:rsidRPr="00376573">
              <w:rPr>
                <w:rFonts w:ascii="Arial" w:hAnsi="Arial" w:cs="Arial"/>
                <w:sz w:val="24"/>
                <w:szCs w:val="24"/>
              </w:rPr>
              <w:t xml:space="preserve"> гэрээ, хүлээлгэн өгсөн, хүлээн авсан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21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2.2.8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Хог хаягдлыг түр хадгалах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хэсэгт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 аюулгүйгээр хадгалдаг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983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2.2.9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алдвар хяналтын ажилтанг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дангаар болон хавсарсан орон тоон дээр с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ургаж,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дадлагажуулсан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1197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2.2.10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</w:rPr>
              <w:t>Эмнэлгийн тусламж, үйлчилгээний нэг удаагийн зориулалтын багаж, материалыг хэрэглэдэг, давтан хэрэглэхээс сэргийлж нөөцийг бүрдүүлсэн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51"/>
        </w:trPr>
        <w:tc>
          <w:tcPr>
            <w:tcW w:w="914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2.2.11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hAnsi="Arial" w:cs="Arial"/>
                <w:sz w:val="24"/>
                <w:szCs w:val="24"/>
              </w:rPr>
              <w:t xml:space="preserve">Багаж, хэрэгслийн ариутгалыг мэргэжлийн байгууллагаар гэрээгээр гүйцэтгүүлдэг бол гэрээ, хүлээлгэн өгсөн, хүлээн авсан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5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Pr="00376573">
              <w:rPr>
                <w:rFonts w:ascii="Arial" w:hAnsi="Arial" w:cs="Arial"/>
                <w:sz w:val="24"/>
                <w:szCs w:val="24"/>
              </w:rPr>
              <w:t>агаж,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hAnsi="Arial" w:cs="Arial"/>
                <w:sz w:val="24"/>
                <w:szCs w:val="24"/>
              </w:rPr>
              <w:t xml:space="preserve">хэрэгслийг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 xml:space="preserve">ариутгаж, </w:t>
            </w:r>
            <w:r w:rsidRPr="00376573">
              <w:rPr>
                <w:rFonts w:ascii="Arial" w:hAnsi="Arial" w:cs="Arial"/>
                <w:sz w:val="24"/>
                <w:szCs w:val="24"/>
              </w:rPr>
              <w:t>халдваргүйжүүлсний дараа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hAnsi="Arial" w:cs="Arial"/>
                <w:sz w:val="24"/>
                <w:szCs w:val="24"/>
              </w:rPr>
              <w:t>зориулалтын зөөврийн битүү саванд хи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йдэг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12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2" w:type="dxa"/>
          </w:tcPr>
          <w:p w:rsidR="00F75A40" w:rsidRPr="00C2151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Эрүүл мэндийн ажилтныг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2014 оны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ЭМС-ын 187-р тушаалын дагуу жил бүр эрүүл мэндийн үзлэгт хамруулж эрүүл мэндийн хуудсанд тэмдэглэсэн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34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2" w:type="dxa"/>
          </w:tcPr>
          <w:p w:rsidR="00F75A40" w:rsidRPr="008C0E36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0E3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Ажилбарын </w:t>
            </w:r>
            <w:r w:rsidRPr="008C0E36">
              <w:rPr>
                <w:rFonts w:ascii="Arial" w:eastAsia="Times New Roman" w:hAnsi="Arial" w:cs="Arial"/>
                <w:sz w:val="24"/>
                <w:szCs w:val="24"/>
              </w:rPr>
              <w:t>өрөө нь агааржуулалтын механик болон автомат системтэй</w:t>
            </w:r>
            <w:r w:rsidRPr="008C0E3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8C0E36">
              <w:rPr>
                <w:rFonts w:ascii="Arial" w:eastAsia="Times New Roman" w:hAnsi="Arial" w:cs="Arial"/>
                <w:sz w:val="24"/>
                <w:szCs w:val="24"/>
              </w:rPr>
              <w:t xml:space="preserve"> хэвийн ажилладаг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66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Шүдний эмнэлэгт: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Өрмийн төхөөрөмжид холбогдсон шугам нь ус шүүгчтэй эсвэл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нэрмэл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 усыг хэрэглэдэг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/усны шүүлтүүрийг тогтмол хугацаанд солидог байх/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D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197FC2" w:rsidRDefault="00197FC2"/>
    <w:tbl>
      <w:tblPr>
        <w:tblStyle w:val="TableGrid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4"/>
        <w:gridCol w:w="5182"/>
        <w:gridCol w:w="851"/>
        <w:gridCol w:w="896"/>
        <w:gridCol w:w="1621"/>
      </w:tblGrid>
      <w:tr w:rsidR="00F75A40" w:rsidRPr="0067336A" w:rsidTr="00B2508B">
        <w:trPr>
          <w:trHeight w:val="52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 xml:space="preserve">Шүдний эмнэлэгт: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Ерөнхий мэргэжлийн сувилагч нь Нүүр амны сувилахуйн судлалаар мэргэшүүлэх сургалтад хамрагдсан байх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784680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Шүдний эмнэлэгт: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Гадаргуугийн хамгаалалтыг солих боломжгүй хүрэлцэх гадаргуу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 нэг удаагийн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 наалтыг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хэрэглэдэг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2.2.1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Шүдний эмнэлэгт: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Э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мчилгээний өрөөнд багаж, материал,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эм, эмнэлгийн хэрэгслийг ил задгай хадгалаагүй болон байршуулаагүй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2.2.19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Шүдний эмнэлэгт: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hAnsi="Arial" w:cs="Arial"/>
                <w:sz w:val="24"/>
                <w:szCs w:val="24"/>
                <w:lang w:val="mn-MN"/>
              </w:rPr>
              <w:t>Цацрагийн үүсгүүр бүхий тоног төхөөрөмж нь зориулалтын хамгаалалттай тусгаарлагдсан өрөөтэй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2.2.2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Шүдний эмнэлэгт: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hAnsi="Arial" w:cs="Arial"/>
                <w:sz w:val="24"/>
                <w:szCs w:val="24"/>
                <w:lang w:val="mn-MN"/>
              </w:rPr>
              <w:t>Цацрагийн үүсгүүр бүхий тоног төхөөрөмж ашигладаг бол Мэргэжлийн Хяналтын Ерөнхий газраас холбогдох зөвшөөрөл авах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14" w:type="dxa"/>
            <w:vAlign w:val="center"/>
          </w:tcPr>
          <w:p w:rsidR="00F75A40" w:rsidRDefault="00F75A40" w:rsidP="00F75A40">
            <w:pPr>
              <w:jc w:val="center"/>
            </w:pP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2.2.2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 xml:space="preserve">Мэс ажилбар, мэс заслын эмнэлэгт: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Аливаа мэс ажилбар, мэс засал хийхийн өмнө үйлчлүүлэгчид гарч болох эрсдлийг танилцуулж зөвшөөрөл авдаг байх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14" w:type="dxa"/>
            <w:vAlign w:val="center"/>
          </w:tcPr>
          <w:p w:rsidR="00F75A40" w:rsidRPr="00BF2984" w:rsidRDefault="00F75A40" w:rsidP="00F75A40">
            <w:pPr>
              <w:jc w:val="center"/>
              <w:rPr>
                <w:rFonts w:ascii="Arial" w:hAnsi="Arial" w:cs="Arial"/>
                <w:lang w:val="mn-MN"/>
              </w:rPr>
            </w:pPr>
            <w:r w:rsidRPr="00BF2984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  <w:lang w:val="mn-MN"/>
              </w:rPr>
              <w:t>.2.22</w:t>
            </w:r>
          </w:p>
        </w:tc>
        <w:tc>
          <w:tcPr>
            <w:tcW w:w="5182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Мэс ажилбар, мэс заслын эмнэлэгт: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 xml:space="preserve"> </w:t>
            </w:r>
            <w:r w:rsidRPr="002B4905">
              <w:rPr>
                <w:rFonts w:ascii="Arial" w:eastAsia="Times New Roman" w:hAnsi="Arial" w:cs="Arial"/>
                <w:sz w:val="24"/>
                <w:szCs w:val="24"/>
              </w:rPr>
              <w:t>Бохир, цэвэр, ариун бүс бүхий нэг чиглэлийн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2B4905">
              <w:rPr>
                <w:rFonts w:ascii="Arial" w:eastAsia="Times New Roman" w:hAnsi="Arial" w:cs="Arial"/>
                <w:sz w:val="24"/>
                <w:szCs w:val="24"/>
              </w:rPr>
              <w:t xml:space="preserve">урсгалтай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байх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370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45AB2" w:rsidRPr="0067336A" w:rsidTr="00197FC2">
        <w:trPr>
          <w:trHeight w:val="449"/>
        </w:trPr>
        <w:tc>
          <w:tcPr>
            <w:tcW w:w="9464" w:type="dxa"/>
            <w:gridSpan w:val="5"/>
            <w:shd w:val="clear" w:color="auto" w:fill="F7CAAC" w:themeFill="accent2" w:themeFillTint="66"/>
          </w:tcPr>
          <w:p w:rsidR="00345AB2" w:rsidRPr="0067336A" w:rsidRDefault="00345AB2" w:rsidP="00345AB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2.3 Ортой эмнэлэг</w:t>
            </w:r>
          </w:p>
        </w:tc>
      </w:tr>
      <w:tr w:rsidR="00F75A40" w:rsidRPr="0067336A" w:rsidTr="00B2508B">
        <w:trPr>
          <w:trHeight w:val="251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75A40" w:rsidRPr="004F2495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17B">
              <w:rPr>
                <w:rFonts w:ascii="Arial" w:hAnsi="Arial" w:cs="Arial"/>
                <w:sz w:val="24"/>
                <w:szCs w:val="24"/>
              </w:rPr>
              <w:t>Өртөлтийн дараах сэргийлэлтийн анхны тусламж үзүүл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59717B">
              <w:rPr>
                <w:rFonts w:ascii="Arial" w:hAnsi="Arial" w:cs="Arial"/>
                <w:sz w:val="24"/>
                <w:szCs w:val="24"/>
              </w:rPr>
              <w:t>хэд шаардлагатай эм,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9717B">
              <w:rPr>
                <w:rFonts w:ascii="Arial" w:hAnsi="Arial" w:cs="Arial"/>
                <w:sz w:val="24"/>
                <w:szCs w:val="24"/>
              </w:rPr>
              <w:t xml:space="preserve">эмнэлгийн хэрэгсэл бүхий цомгоор </w:t>
            </w:r>
            <w:r w:rsidRPr="00630328">
              <w:rPr>
                <w:rFonts w:ascii="Arial" w:hAnsi="Arial" w:cs="Arial"/>
                <w:sz w:val="24"/>
                <w:szCs w:val="24"/>
              </w:rPr>
              <w:t>хангагдсан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63032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МС-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ын 2014 оны 187 дугаар тушаалын 4 дүгээр хавсралтын 2.6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E78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.2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859">
              <w:rPr>
                <w:rFonts w:ascii="Arial" w:hAnsi="Arial" w:cs="Arial"/>
                <w:sz w:val="24"/>
                <w:szCs w:val="24"/>
              </w:rPr>
              <w:t>Асгарсан, цацагдсан цус, биологийн шингэнийг халдваргүйжүүлэн цэвэрлэх иж бүрдлийг бэлтгэсэн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hAnsi="Arial" w:cs="Arial"/>
                <w:sz w:val="24"/>
                <w:szCs w:val="24"/>
              </w:rPr>
              <w:t>ЭМС-ын 2014 оны 187-р тушаалын 5-р хавсралт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E78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.3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75A40" w:rsidRPr="0059717B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4E">
              <w:rPr>
                <w:rFonts w:ascii="Arial" w:hAnsi="Arial" w:cs="Arial"/>
                <w:sz w:val="24"/>
                <w:szCs w:val="24"/>
              </w:rPr>
              <w:t>Гар угаах дараалал, санамж, анхааруулга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бүхий зурагт хуудсыг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</w:t>
            </w:r>
            <w:r w:rsidRPr="00FC374E">
              <w:rPr>
                <w:rFonts w:ascii="Arial" w:hAnsi="Arial" w:cs="Arial"/>
                <w:sz w:val="24"/>
                <w:szCs w:val="24"/>
              </w:rPr>
              <w:t>бүрийн дэргэд байрлуулсан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н</w:t>
            </w:r>
            <w:r w:rsidRPr="00FC374E">
              <w:rPr>
                <w:rFonts w:ascii="Arial" w:hAnsi="Arial" w:cs="Arial"/>
                <w:sz w:val="24"/>
                <w:szCs w:val="24"/>
              </w:rPr>
              <w:t>янгийн эсрэг шингэн саван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FC374E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 арчих нэг удаагийн </w:t>
            </w:r>
            <w:r w:rsidRPr="00FC374E">
              <w:rPr>
                <w:rFonts w:ascii="Arial" w:hAnsi="Arial" w:cs="Arial"/>
                <w:sz w:val="24"/>
                <w:szCs w:val="24"/>
              </w:rPr>
              <w:t>алчуур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нь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тус бүрт </w:t>
            </w:r>
            <w:r>
              <w:rPr>
                <w:rFonts w:ascii="Arial" w:hAnsi="Arial" w:cs="Arial"/>
                <w:sz w:val="24"/>
                <w:szCs w:val="24"/>
              </w:rPr>
              <w:t>хэрэглэ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дэ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E78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.4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75A40" w:rsidRPr="00F340D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Pr="00F340D8">
              <w:rPr>
                <w:rFonts w:ascii="Arial" w:hAnsi="Arial" w:cs="Arial"/>
                <w:sz w:val="24"/>
                <w:szCs w:val="24"/>
              </w:rPr>
              <w:t xml:space="preserve">алдваргүйтгэл, ариутгалын бодисын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F340D8">
              <w:rPr>
                <w:rFonts w:ascii="Arial" w:hAnsi="Arial" w:cs="Arial"/>
                <w:sz w:val="24"/>
                <w:szCs w:val="24"/>
              </w:rPr>
              <w:t>өөцтэй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бэлтгэх, хэрэглэх заавартай 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E78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.5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75A40" w:rsidRPr="00346D69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6260F">
              <w:rPr>
                <w:rFonts w:ascii="Arial" w:hAnsi="Arial" w:cs="Arial"/>
                <w:sz w:val="24"/>
                <w:szCs w:val="24"/>
              </w:rPr>
              <w:t>Халдварын эрсдэл багатай гэмтээгүй арьс салсттай хүрэлцдэг багаж, хэрэгслийг (бумба, ванн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г.м</w:t>
            </w:r>
            <w:r w:rsidRPr="00B6260F">
              <w:rPr>
                <w:rFonts w:ascii="Arial" w:hAnsi="Arial" w:cs="Arial"/>
                <w:sz w:val="24"/>
                <w:szCs w:val="24"/>
              </w:rPr>
              <w:t>) халдваргүйжүүлэх бодистой бүлээн усанд сайтар угааж, цэвэр усаар зай</w:t>
            </w:r>
            <w:r>
              <w:rPr>
                <w:rFonts w:ascii="Arial" w:hAnsi="Arial" w:cs="Arial"/>
                <w:sz w:val="24"/>
                <w:szCs w:val="24"/>
              </w:rPr>
              <w:t>лж хатаан, халдваргүйтгэ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 заавартай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E78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197FC2" w:rsidRDefault="00197FC2"/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"/>
        <w:gridCol w:w="6"/>
        <w:gridCol w:w="5180"/>
        <w:gridCol w:w="851"/>
        <w:gridCol w:w="900"/>
        <w:gridCol w:w="1620"/>
        <w:gridCol w:w="34"/>
      </w:tblGrid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.6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46D69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562F">
              <w:rPr>
                <w:rFonts w:ascii="Arial" w:eastAsia="Times New Roman" w:hAnsi="Arial" w:cs="Arial"/>
                <w:sz w:val="24"/>
                <w:szCs w:val="23"/>
              </w:rPr>
              <w:t xml:space="preserve">Аюултай болон ердийн хог хаягдлыг зориулалтын, таних тэмдэгтэй, 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>ш</w:t>
            </w:r>
            <w:r w:rsidRPr="00AB562F">
              <w:rPr>
                <w:rFonts w:ascii="Arial" w:eastAsia="Times New Roman" w:hAnsi="Arial" w:cs="Arial"/>
                <w:sz w:val="24"/>
                <w:szCs w:val="23"/>
              </w:rPr>
              <w:t>аардлага хангасан уут, саванд ангилан ялгадаг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Аюултай хог хаягдлын хогийн сав нь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таглаатай, хөлөөрөө дарж онгойдог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Хог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хаягдлыг ангилан ялгах заавар, санамжийг байрлуулсан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.7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Эмнэлгийн хог хаягдлын</w:t>
            </w:r>
            <w:r w:rsidRPr="00376573">
              <w:rPr>
                <w:rFonts w:ascii="Arial" w:hAnsi="Arial" w:cs="Arial"/>
                <w:sz w:val="24"/>
                <w:szCs w:val="24"/>
              </w:rPr>
              <w:t xml:space="preserve"> гэрээ, хүлээлгэн өгсөн, хүлээн авсан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.8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Хог хаягдлыг түр хадгалах байранд аюулгүйгээр хадгалдаг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.9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алдвар хяналтын ажилтанг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дангаар болон хавсарсан орон тоон дээр с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ургаж,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дадлагажуулсан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341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.10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</w:rPr>
              <w:t>Эмнэлгийн тусламж, үйлчилгээний нэг удаагийн зориулалтын багаж, материалыг хэрэглэдэг, давтан хэрэглэхээс сэргийлж нөөцийг бүрдүүлсэн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.11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hAnsi="Arial" w:cs="Arial"/>
                <w:sz w:val="24"/>
                <w:szCs w:val="24"/>
              </w:rPr>
              <w:t xml:space="preserve">Багаж, хэрэгслийн ариутгалыг мэргэжлийн байгууллагаар гэрээгээр гүйцэтгүүлдэг бол гэрээ, хүлээлгэн өгсөн, хүлээн авсан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Pr="00376573">
              <w:rPr>
                <w:rFonts w:ascii="Arial" w:hAnsi="Arial" w:cs="Arial"/>
                <w:sz w:val="24"/>
                <w:szCs w:val="24"/>
              </w:rPr>
              <w:t>агаж,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hAnsi="Arial" w:cs="Arial"/>
                <w:sz w:val="24"/>
                <w:szCs w:val="24"/>
              </w:rPr>
              <w:t xml:space="preserve">хэрэгслийг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 xml:space="preserve">ариутгаж, </w:t>
            </w:r>
            <w:r w:rsidRPr="00376573">
              <w:rPr>
                <w:rFonts w:ascii="Arial" w:hAnsi="Arial" w:cs="Arial"/>
                <w:sz w:val="24"/>
                <w:szCs w:val="24"/>
              </w:rPr>
              <w:t>халдваргүйжүүлсний дараа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hAnsi="Arial" w:cs="Arial"/>
                <w:sz w:val="24"/>
                <w:szCs w:val="24"/>
              </w:rPr>
              <w:t>зориулалтын зөөврийн битүү саванд хи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йдэг 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өвлөрсөн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болон хэсгийн а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риун цэврийн байгууламж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тай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Эрүүл мэндийн ажилтныг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2014 оны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ЭМС-ын 187-р тушаалын дагуу жил бүр эрүүл мэндийн үзлэгт хамруулж эрүүл мэндийн хуудсанд тэмдэглэсэн 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E73AE7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0E3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Ажилбарын </w:t>
            </w:r>
            <w:r w:rsidRPr="008C0E36">
              <w:rPr>
                <w:rFonts w:ascii="Arial" w:eastAsia="Times New Roman" w:hAnsi="Arial" w:cs="Arial"/>
                <w:sz w:val="24"/>
                <w:szCs w:val="24"/>
              </w:rPr>
              <w:t>өрөө нь агааржуулалтын механик болон автомат системтэй</w:t>
            </w:r>
            <w:r w:rsidRPr="008C0E3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8C0E36">
              <w:rPr>
                <w:rFonts w:ascii="Arial" w:eastAsia="Times New Roman" w:hAnsi="Arial" w:cs="Arial"/>
                <w:sz w:val="24"/>
                <w:szCs w:val="24"/>
              </w:rPr>
              <w:t xml:space="preserve"> хэвийн ажилладаг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gridAfter w:val="1"/>
          <w:wAfter w:w="34" w:type="dxa"/>
          <w:trHeight w:val="584"/>
        </w:trPr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F75A40" w:rsidRPr="00AF5090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 w:rsidRPr="00C46627">
              <w:rPr>
                <w:rFonts w:ascii="Arial" w:eastAsia="Times New Roman" w:hAnsi="Arial" w:cs="Arial"/>
                <w:sz w:val="24"/>
                <w:szCs w:val="23"/>
              </w:rPr>
              <w:t xml:space="preserve">Өвчтөнг эмнэлэг хооронд шилжүүлэх 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журамтай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/</w:t>
            </w:r>
            <w:r w:rsidRPr="00180F6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ЭМ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С-ын 2009 оны 307 дугаар тушаал</w:t>
            </w:r>
            <w:r w:rsidRPr="00180F6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51A7F">
              <w:rPr>
                <w:rFonts w:ascii="Arial" w:eastAsia="Times New Roman" w:hAnsi="Arial" w:cs="Arial"/>
                <w:sz w:val="24"/>
                <w:szCs w:val="24"/>
              </w:rPr>
              <w:t>Мэргэжлийн байгууллагаар шавжгүйтгэл, мэрэгчгүйтгэл, халдваргүйтгэлийг жилд 2-оос доошгүй удаа хийлгэдэг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A5E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r w:rsidRPr="00551A7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 тогооны хэсэг ариун цэвэр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эрүүл аюулгүй байдлын</w:t>
            </w:r>
            <w:r w:rsidRPr="00551A7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шаардлага хангасан, </w:t>
            </w:r>
            <w:r w:rsidRPr="00551A7F">
              <w:rPr>
                <w:rFonts w:ascii="Arial" w:eastAsia="Times New Roman" w:hAnsi="Arial" w:cs="Arial"/>
                <w:sz w:val="24"/>
                <w:szCs w:val="24"/>
              </w:rPr>
              <w:t>эмчилгээний хоолоор эмчилдэг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.19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4A1">
              <w:rPr>
                <w:rFonts w:ascii="Arial" w:eastAsia="Times New Roman" w:hAnsi="Arial" w:cs="Arial"/>
                <w:sz w:val="24"/>
                <w:szCs w:val="24"/>
              </w:rPr>
              <w:t>Эмнэлгийн ажилчид хувцас солих болон амрах өрөөтэй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341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.2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51A7F">
              <w:rPr>
                <w:rFonts w:ascii="Arial" w:eastAsia="Times New Roman" w:hAnsi="Arial" w:cs="Arial"/>
                <w:sz w:val="24"/>
                <w:szCs w:val="24"/>
              </w:rPr>
              <w:t>Хэвтүүлэн эмчлэх тасагт шөнийн цагаар эмчилгээ, үйлчилгээ явуулахад бусад эмчлүүлэгчдэд сөрөг нөлөө үзүүлэхгүй ханын гэрэлтүүлэгтэй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.2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BD59FD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A4E0D">
              <w:rPr>
                <w:rFonts w:ascii="Arial" w:eastAsia="Times New Roman" w:hAnsi="Arial" w:cs="Arial"/>
                <w:sz w:val="24"/>
                <w:szCs w:val="24"/>
              </w:rPr>
              <w:t xml:space="preserve">Эмч ажилчдын хувцсыг угаалгын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хэсэгт угааж, бохир, цэврээр ялган ангилдаг 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.2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A4E0D">
              <w:rPr>
                <w:rFonts w:ascii="Arial" w:eastAsia="Times New Roman" w:hAnsi="Arial" w:cs="Arial"/>
                <w:sz w:val="24"/>
                <w:szCs w:val="24"/>
              </w:rPr>
              <w:t>Гудас, матрасны гаднах уутыг үйлчлүүлэгч эмнэлгээс гарах болон бохирдсон тохиолдол бүрт угаалганд өгч, цэвэр хэрэгслээр сольдог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341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E0D">
              <w:rPr>
                <w:rFonts w:ascii="Arial" w:eastAsia="Times New Roman" w:hAnsi="Arial" w:cs="Arial"/>
                <w:sz w:val="24"/>
                <w:szCs w:val="24"/>
              </w:rPr>
              <w:t>Угаахад тохиромжгүй хөнжил, гудас, матрас, дэрийг биологийн шингэнээр бохирлогд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сон</w:t>
            </w:r>
            <w:r w:rsidRPr="00DA4E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тохиолдолд </w:t>
            </w:r>
            <w:r w:rsidRPr="00DA4E0D">
              <w:rPr>
                <w:rFonts w:ascii="Arial" w:eastAsia="Times New Roman" w:hAnsi="Arial" w:cs="Arial"/>
                <w:sz w:val="24"/>
                <w:szCs w:val="24"/>
              </w:rPr>
              <w:t xml:space="preserve"> халдваргүйжүүлэлт хийдэг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3505">
              <w:rPr>
                <w:rFonts w:ascii="Arial" w:hAnsi="Arial" w:cs="Arial"/>
                <w:sz w:val="24"/>
                <w:szCs w:val="24"/>
                <w:lang w:val="mn-MN"/>
              </w:rPr>
              <w:t>.2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7FD3">
              <w:rPr>
                <w:rFonts w:ascii="Arial" w:eastAsia="Times New Roman" w:hAnsi="Arial" w:cs="Arial"/>
                <w:sz w:val="24"/>
                <w:szCs w:val="24"/>
              </w:rPr>
              <w:t>Эмнэлгийн нас баралтын тохиолдол бүрийг задлан шинжилгээнд журмын дагуу бүрэн хамруулж шинжилгээний дүнг хэлэлцдэг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.26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551A7F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D88">
              <w:rPr>
                <w:rFonts w:ascii="Arial" w:eastAsia="Times New Roman" w:hAnsi="Arial" w:cs="Arial"/>
                <w:sz w:val="24"/>
                <w:szCs w:val="24"/>
              </w:rPr>
              <w:t>Мансууруулах болон сэтгэцэд нөлөөт эмийг битүүмжлэл, хамгаалалт, аюулгүй байдлын шаардлага хангасан нөхцөлд хадгалдаг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Pr="0078743F" w:rsidRDefault="00F75A40" w:rsidP="00F75A40">
            <w:pPr>
              <w:jc w:val="center"/>
            </w:pPr>
            <w:r w:rsidRPr="0071292E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 w:rsidRPr="0071292E">
              <w:rPr>
                <w:rFonts w:ascii="Arial" w:hAnsi="Arial" w:cs="Arial"/>
                <w:sz w:val="24"/>
                <w:szCs w:val="24"/>
              </w:rPr>
              <w:t>3</w:t>
            </w:r>
            <w:r w:rsidRPr="0071292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D53D88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Эмийн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гаж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нөлөөний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мэдээллийг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цуглуулах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хайрцгийг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харагдахуйц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газар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байрлуулж, эмийн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гаж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нөлөөг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мэдээлэх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шар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хуудсаар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</w:t>
            </w:r>
            <w:r w:rsidRPr="004C21EC">
              <w:rPr>
                <w:rFonts w:ascii="Arial" w:eastAsia="Times New Roman" w:hAnsi="Arial" w:cs="Arial"/>
                <w:sz w:val="24"/>
                <w:szCs w:val="24"/>
              </w:rPr>
              <w:t>анга</w:t>
            </w:r>
            <w:r w:rsidRPr="004C21E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сан эсэх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Pr="0078743F" w:rsidRDefault="00F75A40" w:rsidP="00F75A40">
            <w:pPr>
              <w:jc w:val="center"/>
            </w:pPr>
            <w:r w:rsidRPr="0071292E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 w:rsidRPr="0071292E">
              <w:rPr>
                <w:rFonts w:ascii="Arial" w:hAnsi="Arial" w:cs="Arial"/>
                <w:sz w:val="24"/>
                <w:szCs w:val="24"/>
              </w:rPr>
              <w:t>3</w:t>
            </w:r>
            <w:r w:rsidRPr="0071292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376573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Халдварт өвчний сэжиг илэрсэн өвчтнийг тусгаарлах өрөөтэй 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51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Pr="00475DDA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2.3.29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376573" w:rsidRDefault="00F75A40" w:rsidP="00B250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 xml:space="preserve">Мэс ажилбар, мэс заслын эмнэлэгт: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Аливаа мэс ажилбар, мэс засал хийхийн өмнө үйлчлүүлэгчид гарч болох эрсдлийг танилцуулж зөвшөөрөл авдаг 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7E386B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A40" w:rsidRPr="0067336A" w:rsidTr="00B2508B">
        <w:trPr>
          <w:trHeight w:val="251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2.3.30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  <w:vAlign w:val="center"/>
          </w:tcPr>
          <w:p w:rsidR="00F75A40" w:rsidRPr="00376573" w:rsidRDefault="00F75A40" w:rsidP="00B2508B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37657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>Мэс ажилбар, мэс заслын эмнэлэгт: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mn-MN"/>
              </w:rPr>
              <w:t xml:space="preserve"> </w:t>
            </w:r>
            <w:r w:rsidRPr="002B4905">
              <w:rPr>
                <w:rFonts w:ascii="Arial" w:eastAsia="Times New Roman" w:hAnsi="Arial" w:cs="Arial"/>
                <w:sz w:val="24"/>
                <w:szCs w:val="24"/>
              </w:rPr>
              <w:t>Бохир, цэвэр, ариун бүс бүхий нэг чиглэлийн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2B4905">
              <w:rPr>
                <w:rFonts w:ascii="Arial" w:eastAsia="Times New Roman" w:hAnsi="Arial" w:cs="Arial"/>
                <w:sz w:val="24"/>
                <w:szCs w:val="24"/>
              </w:rPr>
              <w:t xml:space="preserve">урсгалтай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A40" w:rsidRDefault="00F75A40" w:rsidP="00F75A40">
            <w:pPr>
              <w:jc w:val="center"/>
            </w:pPr>
            <w:r w:rsidRPr="005B0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75A40" w:rsidRPr="007E386B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9FD" w:rsidRPr="0067336A" w:rsidTr="00E73AE7">
        <w:trPr>
          <w:trHeight w:val="422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D59FD" w:rsidRPr="0067336A" w:rsidRDefault="00BD59FD" w:rsidP="00BD59F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2.4 Сувилал</w:t>
            </w:r>
          </w:p>
        </w:tc>
      </w:tr>
      <w:tr w:rsidR="00F75A40" w:rsidRPr="0067336A" w:rsidTr="00B2508B">
        <w:trPr>
          <w:trHeight w:val="836"/>
        </w:trPr>
        <w:tc>
          <w:tcPr>
            <w:tcW w:w="907" w:type="dxa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</w:p>
        </w:tc>
        <w:tc>
          <w:tcPr>
            <w:tcW w:w="5186" w:type="dxa"/>
            <w:gridSpan w:val="2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17B">
              <w:rPr>
                <w:rFonts w:ascii="Arial" w:hAnsi="Arial" w:cs="Arial"/>
                <w:sz w:val="24"/>
                <w:szCs w:val="24"/>
              </w:rPr>
              <w:t>Өртөлтийн дараах сэргийлэлтийн анхны тусламж үзүүл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59717B">
              <w:rPr>
                <w:rFonts w:ascii="Arial" w:hAnsi="Arial" w:cs="Arial"/>
                <w:sz w:val="24"/>
                <w:szCs w:val="24"/>
              </w:rPr>
              <w:t>хэд шаардлагатай эм,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9717B">
              <w:rPr>
                <w:rFonts w:ascii="Arial" w:hAnsi="Arial" w:cs="Arial"/>
                <w:sz w:val="24"/>
                <w:szCs w:val="24"/>
              </w:rPr>
              <w:t xml:space="preserve">эмнэлгийн хэрэгсэл бүхий цомгоор </w:t>
            </w:r>
            <w:r w:rsidRPr="00630328">
              <w:rPr>
                <w:rFonts w:ascii="Arial" w:hAnsi="Arial" w:cs="Arial"/>
                <w:sz w:val="24"/>
                <w:szCs w:val="24"/>
              </w:rPr>
              <w:t>хангагдсан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63032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МС-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ын 2014 оны 187 дугаар тушаалын 4 дүгээр хавсралтын 2.6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6" w:type="dxa"/>
            <w:gridSpan w:val="2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859">
              <w:rPr>
                <w:rFonts w:ascii="Arial" w:hAnsi="Arial" w:cs="Arial"/>
                <w:sz w:val="24"/>
                <w:szCs w:val="24"/>
              </w:rPr>
              <w:t>Асгарсан, цацагдсан цус, биологийн шингэнийг халдваргүйжүүлэн цэвэрлэх иж бүрдлийг бэлтгэсэн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hAnsi="Arial" w:cs="Arial"/>
                <w:sz w:val="24"/>
                <w:szCs w:val="24"/>
              </w:rPr>
              <w:t>ЭМС-ын 2014 оны 187-р тушаалын 5-р хавсралт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6" w:type="dxa"/>
            <w:gridSpan w:val="2"/>
          </w:tcPr>
          <w:p w:rsidR="00F75A40" w:rsidRPr="0059717B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4E">
              <w:rPr>
                <w:rFonts w:ascii="Arial" w:hAnsi="Arial" w:cs="Arial"/>
                <w:sz w:val="24"/>
                <w:szCs w:val="24"/>
              </w:rPr>
              <w:t>Гар угаах дараалал, санамж, анхааруулга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бүхий зурагт хуудсыг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</w:t>
            </w:r>
            <w:r w:rsidRPr="00FC374E">
              <w:rPr>
                <w:rFonts w:ascii="Arial" w:hAnsi="Arial" w:cs="Arial"/>
                <w:sz w:val="24"/>
                <w:szCs w:val="24"/>
              </w:rPr>
              <w:t>бүрийн дэргэд байрлуулсан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н</w:t>
            </w:r>
            <w:r w:rsidRPr="00FC374E">
              <w:rPr>
                <w:rFonts w:ascii="Arial" w:hAnsi="Arial" w:cs="Arial"/>
                <w:sz w:val="24"/>
                <w:szCs w:val="24"/>
              </w:rPr>
              <w:t>янгийн эсрэг шингэн саван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FC374E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 арчих нэг удаагийн </w:t>
            </w:r>
            <w:r w:rsidRPr="00FC374E">
              <w:rPr>
                <w:rFonts w:ascii="Arial" w:hAnsi="Arial" w:cs="Arial"/>
                <w:sz w:val="24"/>
                <w:szCs w:val="24"/>
              </w:rPr>
              <w:t>алчуур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нь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тус бүрт </w:t>
            </w:r>
            <w:r>
              <w:rPr>
                <w:rFonts w:ascii="Arial" w:hAnsi="Arial" w:cs="Arial"/>
                <w:sz w:val="24"/>
                <w:szCs w:val="24"/>
              </w:rPr>
              <w:t>хэрэглэ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дэ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602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6" w:type="dxa"/>
            <w:gridSpan w:val="2"/>
          </w:tcPr>
          <w:p w:rsidR="00F75A40" w:rsidRPr="00F340D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Pr="00F340D8">
              <w:rPr>
                <w:rFonts w:ascii="Arial" w:hAnsi="Arial" w:cs="Arial"/>
                <w:sz w:val="24"/>
                <w:szCs w:val="24"/>
              </w:rPr>
              <w:t xml:space="preserve">алдваргүйтгэл, ариутгалын бодисын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F340D8">
              <w:rPr>
                <w:rFonts w:ascii="Arial" w:hAnsi="Arial" w:cs="Arial"/>
                <w:sz w:val="24"/>
                <w:szCs w:val="24"/>
              </w:rPr>
              <w:t>өөцтэй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бэлтгэх, хэрэглэх заавартай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273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6" w:type="dxa"/>
            <w:gridSpan w:val="2"/>
          </w:tcPr>
          <w:p w:rsidR="00F75A40" w:rsidRPr="00346D69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6260F">
              <w:rPr>
                <w:rFonts w:ascii="Arial" w:hAnsi="Arial" w:cs="Arial"/>
                <w:sz w:val="24"/>
                <w:szCs w:val="24"/>
              </w:rPr>
              <w:t>Халдварын эрсдэл багатай гэмтээгүй арьс салсттай хүрэлцдэ</w:t>
            </w:r>
            <w:r>
              <w:rPr>
                <w:rFonts w:ascii="Arial" w:hAnsi="Arial" w:cs="Arial"/>
                <w:sz w:val="24"/>
                <w:szCs w:val="24"/>
              </w:rPr>
              <w:t xml:space="preserve">г багаж, хэрэгслийг (бумба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г.м</w:t>
            </w:r>
            <w:r w:rsidRPr="00B6260F">
              <w:rPr>
                <w:rFonts w:ascii="Arial" w:hAnsi="Arial" w:cs="Arial"/>
                <w:sz w:val="24"/>
                <w:szCs w:val="24"/>
              </w:rPr>
              <w:t>) халдваргүйжүүлэх бодистой бүлээн усанд сайтар угааж, цэвэр усаар зай</w:t>
            </w:r>
            <w:r>
              <w:rPr>
                <w:rFonts w:ascii="Arial" w:hAnsi="Arial" w:cs="Arial"/>
                <w:sz w:val="24"/>
                <w:szCs w:val="24"/>
              </w:rPr>
              <w:t>лж хатаан, халдваргүйтгэ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 заавартай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6" w:type="dxa"/>
            <w:gridSpan w:val="2"/>
          </w:tcPr>
          <w:p w:rsidR="00F75A40" w:rsidRPr="00346D69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562F">
              <w:rPr>
                <w:rFonts w:ascii="Arial" w:eastAsia="Times New Roman" w:hAnsi="Arial" w:cs="Arial"/>
                <w:sz w:val="24"/>
                <w:szCs w:val="23"/>
              </w:rPr>
              <w:t xml:space="preserve">Аюултай болон ердийн хог хаягдлыг зориулалтын, таних тэмдэгтэй, 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>ш</w:t>
            </w:r>
            <w:r w:rsidRPr="00AB562F">
              <w:rPr>
                <w:rFonts w:ascii="Arial" w:eastAsia="Times New Roman" w:hAnsi="Arial" w:cs="Arial"/>
                <w:sz w:val="24"/>
                <w:szCs w:val="23"/>
              </w:rPr>
              <w:t>аардлага хангасан уут, саванд ангилан ялгадаг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Аюултай хог хаягдлын хогийн сав нь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таглаатай, хөлөөрөө дарж онгойдог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хог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хаягдлыг ангилан ялгах заавар, санамжийг байрлуулсан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186" w:type="dxa"/>
            <w:gridSpan w:val="2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Эмнэлгийн хог хаягдлын</w:t>
            </w:r>
            <w:r w:rsidRPr="00376573">
              <w:rPr>
                <w:rFonts w:ascii="Arial" w:hAnsi="Arial" w:cs="Arial"/>
                <w:sz w:val="24"/>
                <w:szCs w:val="24"/>
              </w:rPr>
              <w:t xml:space="preserve"> гэрээ, хүлээлгэн өгсөн, хүлээн авсан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6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186" w:type="dxa"/>
            <w:gridSpan w:val="2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Хог хаягдлыг түр хадгалах байранд аюулгүйгээр хадгалдаг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21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5186" w:type="dxa"/>
            <w:gridSpan w:val="2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алдвар хяналтын ажилтанг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дангаар болон хавсарсан орон тоон дээр с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ургаж,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дадлагажуулсан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69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5186" w:type="dxa"/>
            <w:gridSpan w:val="2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өвлөрсөн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болон хэсгийн а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риун цэврийн байгууламж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тай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186" w:type="dxa"/>
            <w:gridSpan w:val="2"/>
          </w:tcPr>
          <w:p w:rsidR="00F75A40" w:rsidRPr="00551A7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51A7F">
              <w:rPr>
                <w:rFonts w:ascii="Arial" w:eastAsia="Times New Roman" w:hAnsi="Arial" w:cs="Arial"/>
                <w:sz w:val="24"/>
                <w:szCs w:val="24"/>
              </w:rPr>
              <w:t>Мэргэжлийн байгууллагаар шавжгүйтгэл, мэрэгчгүйтгэл, халдваргүйтгэлийг жилд 2-оос доошгүй удаа хийлгэдэг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6" w:type="dxa"/>
            <w:gridSpan w:val="2"/>
          </w:tcPr>
          <w:p w:rsidR="00F75A40" w:rsidRPr="00551A7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r w:rsidRPr="00551A7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 тогооны хэсэг ариун цэвэр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 аюулгүй байдлын</w:t>
            </w:r>
            <w:r w:rsidRPr="00551A7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шаардлага хангасан, </w:t>
            </w:r>
            <w:r w:rsidRPr="00551A7F">
              <w:rPr>
                <w:rFonts w:ascii="Arial" w:eastAsia="Times New Roman" w:hAnsi="Arial" w:cs="Arial"/>
                <w:sz w:val="24"/>
                <w:szCs w:val="24"/>
              </w:rPr>
              <w:t>эмчилгээний хоолоор эмчилдэг</w:t>
            </w:r>
            <w:r w:rsidRPr="00551A7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73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6" w:type="dxa"/>
            <w:gridSpan w:val="2"/>
          </w:tcPr>
          <w:p w:rsidR="00F75A40" w:rsidRPr="00551A7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</w:t>
            </w:r>
            <w:r w:rsidRPr="000C14A1">
              <w:rPr>
                <w:rFonts w:ascii="Arial" w:eastAsia="Times New Roman" w:hAnsi="Arial" w:cs="Arial"/>
                <w:sz w:val="24"/>
                <w:szCs w:val="24"/>
              </w:rPr>
              <w:t>жилчид хувцас солих болон амрах өрөөтэй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314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6" w:type="dxa"/>
            <w:gridSpan w:val="2"/>
          </w:tcPr>
          <w:p w:rsidR="00F75A40" w:rsidRPr="00551A7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E0D">
              <w:rPr>
                <w:rFonts w:ascii="Arial" w:eastAsia="Times New Roman" w:hAnsi="Arial" w:cs="Arial"/>
                <w:sz w:val="24"/>
                <w:szCs w:val="24"/>
              </w:rPr>
              <w:t xml:space="preserve">Эмч ажилчдын хувцсыг угаалгын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хэсэгт угааж, бохир, цэврээр ялган ангилдаг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39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6" w:type="dxa"/>
            <w:gridSpan w:val="2"/>
          </w:tcPr>
          <w:p w:rsidR="00F75A40" w:rsidRPr="00551A7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E0D">
              <w:rPr>
                <w:rFonts w:ascii="Arial" w:eastAsia="Times New Roman" w:hAnsi="Arial" w:cs="Arial"/>
                <w:sz w:val="24"/>
                <w:szCs w:val="24"/>
              </w:rPr>
              <w:t>Гудас, матрасны гаднах уутыг үйлчлүүлэгч эмнэлгээс гарах болон бохирдсон тохиолдол бүрт угаалганд өгч, цэвэр хэрэгслээр сольдог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6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6" w:type="dxa"/>
            <w:gridSpan w:val="2"/>
          </w:tcPr>
          <w:p w:rsidR="00F75A40" w:rsidRPr="00551A7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E0D">
              <w:rPr>
                <w:rFonts w:ascii="Arial" w:eastAsia="Times New Roman" w:hAnsi="Arial" w:cs="Arial"/>
                <w:sz w:val="24"/>
                <w:szCs w:val="24"/>
              </w:rPr>
              <w:t>Угаахад тохиромжгүй хөнжил, гудас, матрас, дэрийг биологийн шингэнээр бохирлогд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сон</w:t>
            </w:r>
            <w:r w:rsidRPr="00DA4E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тохиолдолд </w:t>
            </w:r>
            <w:r w:rsidRPr="00DA4E0D">
              <w:rPr>
                <w:rFonts w:ascii="Arial" w:eastAsia="Times New Roman" w:hAnsi="Arial" w:cs="Arial"/>
                <w:sz w:val="24"/>
                <w:szCs w:val="24"/>
              </w:rPr>
              <w:t xml:space="preserve"> халдваргүйжүүлэлт хийдэг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36"/>
        </w:trPr>
        <w:tc>
          <w:tcPr>
            <w:tcW w:w="907" w:type="dxa"/>
            <w:vAlign w:val="center"/>
          </w:tcPr>
          <w:p w:rsidR="00F75A40" w:rsidRDefault="00F75A40" w:rsidP="00F75A40">
            <w:pPr>
              <w:jc w:val="center"/>
            </w:pP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2.4.1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186" w:type="dxa"/>
            <w:gridSpan w:val="2"/>
            <w:vAlign w:val="center"/>
          </w:tcPr>
          <w:p w:rsidR="00F75A40" w:rsidRPr="00911F3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F38">
              <w:rPr>
                <w:rFonts w:ascii="Arial" w:hAnsi="Arial" w:cs="Arial"/>
                <w:sz w:val="24"/>
                <w:szCs w:val="24"/>
              </w:rPr>
              <w:t>Ундны усны эх үүсвэрийн худгийн усанд жилд 1 удаа химийн үзүүлэлтээр, сар бүр нян судлалын үзүүлэлтээр /нянгийн тоо, E.Coli/ шинжилгээ хийлгэдэг, тэдгээр нь стандартын шаардлага хангасан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D338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632B5" w:rsidRPr="0067336A" w:rsidTr="00E73AE7">
        <w:trPr>
          <w:trHeight w:val="422"/>
        </w:trPr>
        <w:tc>
          <w:tcPr>
            <w:tcW w:w="9498" w:type="dxa"/>
            <w:gridSpan w:val="7"/>
            <w:shd w:val="clear" w:color="auto" w:fill="F7CAAC" w:themeFill="accent2" w:themeFillTint="66"/>
          </w:tcPr>
          <w:p w:rsidR="00A632B5" w:rsidRPr="0067336A" w:rsidRDefault="00A632B5" w:rsidP="00A632B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 Оношилгоо</w:t>
            </w: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Pr="00500EEB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2.5.1</w:t>
            </w:r>
          </w:p>
        </w:tc>
        <w:tc>
          <w:tcPr>
            <w:tcW w:w="5180" w:type="dxa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17B">
              <w:rPr>
                <w:rFonts w:ascii="Arial" w:hAnsi="Arial" w:cs="Arial"/>
                <w:sz w:val="24"/>
                <w:szCs w:val="24"/>
              </w:rPr>
              <w:t>Өртөлтийн дараах сэргийлэлтийн анхны тусламж үзүүл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59717B">
              <w:rPr>
                <w:rFonts w:ascii="Arial" w:hAnsi="Arial" w:cs="Arial"/>
                <w:sz w:val="24"/>
                <w:szCs w:val="24"/>
              </w:rPr>
              <w:t>хэд шаардлагатай эм,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9717B">
              <w:rPr>
                <w:rFonts w:ascii="Arial" w:hAnsi="Arial" w:cs="Arial"/>
                <w:sz w:val="24"/>
                <w:szCs w:val="24"/>
              </w:rPr>
              <w:t xml:space="preserve">эмнэлгийн хэрэгсэл бүхий цомгоор </w:t>
            </w:r>
            <w:r w:rsidRPr="00630328">
              <w:rPr>
                <w:rFonts w:ascii="Arial" w:hAnsi="Arial" w:cs="Arial"/>
                <w:sz w:val="24"/>
                <w:szCs w:val="24"/>
              </w:rPr>
              <w:t>хангагдсан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63032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МС-</w:t>
            </w:r>
            <w:r w:rsidRPr="00630328">
              <w:rPr>
                <w:rFonts w:ascii="Arial" w:eastAsia="Times New Roman" w:hAnsi="Arial" w:cs="Arial"/>
                <w:sz w:val="24"/>
                <w:szCs w:val="24"/>
              </w:rPr>
              <w:t>ын 2014 оны 187 дугаар тушаалын 4 дүгээр хавсралтын 2.6</w:t>
            </w:r>
            <w:r w:rsidRPr="0063032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0" w:type="dxa"/>
          </w:tcPr>
          <w:p w:rsidR="00F75A40" w:rsidRPr="0063032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859">
              <w:rPr>
                <w:rFonts w:ascii="Arial" w:hAnsi="Arial" w:cs="Arial"/>
                <w:sz w:val="24"/>
                <w:szCs w:val="24"/>
              </w:rPr>
              <w:t>Асгарсан, цацагдсан цус, биологийн шингэнийг халдваргүйжүүлэн цэвэрлэх иж бүрдлийг бэлтгэсэн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 w:rsidRPr="00630328">
              <w:rPr>
                <w:rFonts w:ascii="Arial" w:hAnsi="Arial" w:cs="Arial"/>
                <w:sz w:val="24"/>
                <w:szCs w:val="24"/>
              </w:rPr>
              <w:t>ЭМС-ын 2014 оны 187-р тушаалын 5-р хавсралт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0" w:type="dxa"/>
          </w:tcPr>
          <w:p w:rsidR="00F75A40" w:rsidRPr="0059717B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4E">
              <w:rPr>
                <w:rFonts w:ascii="Arial" w:hAnsi="Arial" w:cs="Arial"/>
                <w:sz w:val="24"/>
                <w:szCs w:val="24"/>
              </w:rPr>
              <w:t>Гар угаах дараалал, санамж, анхааруулга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бүхий зурагт хуудсыг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</w:t>
            </w:r>
            <w:r w:rsidRPr="00FC374E">
              <w:rPr>
                <w:rFonts w:ascii="Arial" w:hAnsi="Arial" w:cs="Arial"/>
                <w:sz w:val="24"/>
                <w:szCs w:val="24"/>
              </w:rPr>
              <w:t>бүрийн дэргэд байрлуулсан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н</w:t>
            </w:r>
            <w:r w:rsidRPr="00FC374E">
              <w:rPr>
                <w:rFonts w:ascii="Arial" w:hAnsi="Arial" w:cs="Arial"/>
                <w:sz w:val="24"/>
                <w:szCs w:val="24"/>
              </w:rPr>
              <w:t>янгийн эсрэг шингэн саван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FC374E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 арчих нэг удаагийн </w:t>
            </w:r>
            <w:r w:rsidRPr="00FC374E">
              <w:rPr>
                <w:rFonts w:ascii="Arial" w:hAnsi="Arial" w:cs="Arial"/>
                <w:sz w:val="24"/>
                <w:szCs w:val="24"/>
              </w:rPr>
              <w:t>алчуур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нь</w:t>
            </w:r>
            <w:r w:rsidRPr="00FC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угаалтуур тус бүрт </w:t>
            </w:r>
            <w:r>
              <w:rPr>
                <w:rFonts w:ascii="Arial" w:hAnsi="Arial" w:cs="Arial"/>
                <w:sz w:val="24"/>
                <w:szCs w:val="24"/>
              </w:rPr>
              <w:t>хэрэглэ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дэ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21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0" w:type="dxa"/>
          </w:tcPr>
          <w:p w:rsidR="00F75A40" w:rsidRPr="00F340D8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Pr="00F340D8">
              <w:rPr>
                <w:rFonts w:ascii="Arial" w:hAnsi="Arial" w:cs="Arial"/>
                <w:sz w:val="24"/>
                <w:szCs w:val="24"/>
              </w:rPr>
              <w:t xml:space="preserve">алдваргүйтгэл, ариутгалын бодисын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F340D8">
              <w:rPr>
                <w:rFonts w:ascii="Arial" w:hAnsi="Arial" w:cs="Arial"/>
                <w:sz w:val="24"/>
                <w:szCs w:val="24"/>
              </w:rPr>
              <w:t>өөцтэй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бэлтгэх, хэрэглэх заавартай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0" w:type="dxa"/>
          </w:tcPr>
          <w:p w:rsidR="00F75A40" w:rsidRPr="00C11965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562F">
              <w:rPr>
                <w:rFonts w:ascii="Arial" w:eastAsia="Times New Roman" w:hAnsi="Arial" w:cs="Arial"/>
                <w:sz w:val="24"/>
                <w:szCs w:val="23"/>
              </w:rPr>
              <w:t xml:space="preserve">Аюултай болон ердийн хог хаягдлыг зориулалтын, таних тэмдэгтэй, 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>ш</w:t>
            </w:r>
            <w:r w:rsidRPr="00AB562F">
              <w:rPr>
                <w:rFonts w:ascii="Arial" w:eastAsia="Times New Roman" w:hAnsi="Arial" w:cs="Arial"/>
                <w:sz w:val="24"/>
                <w:szCs w:val="23"/>
              </w:rPr>
              <w:t>аардлага хангасан уут, саванд ангилан ялгадаг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Аюултай хог хаягдлын хогийн сав нь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таглаатай, хөлөөрөө дарж онгойдог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, Хог </w:t>
            </w:r>
            <w:r w:rsidRPr="00AD173A">
              <w:rPr>
                <w:rFonts w:ascii="Arial" w:eastAsia="Times New Roman" w:hAnsi="Arial" w:cs="Arial"/>
                <w:sz w:val="24"/>
                <w:szCs w:val="23"/>
              </w:rPr>
              <w:t>хаягдлыг ангилан ялгах заавар, санамжийг байрлуулсан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39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0" w:type="dxa"/>
          </w:tcPr>
          <w:p w:rsidR="00F75A40" w:rsidRPr="00376573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Эмнэлгийн хог хаягдлын</w:t>
            </w:r>
            <w:r w:rsidRPr="00376573">
              <w:rPr>
                <w:rFonts w:ascii="Arial" w:hAnsi="Arial" w:cs="Arial"/>
                <w:sz w:val="24"/>
                <w:szCs w:val="24"/>
              </w:rPr>
              <w:t xml:space="preserve"> гэрээ, хүлээлгэн өгсөн, хүлээн авсан </w:t>
            </w:r>
            <w:r w:rsidRPr="00376573">
              <w:rPr>
                <w:rFonts w:ascii="Arial" w:hAnsi="Arial" w:cs="Arial"/>
                <w:sz w:val="24"/>
                <w:szCs w:val="24"/>
                <w:lang w:val="mn-MN"/>
              </w:rPr>
              <w:t>тухай тэмдэглэл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602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180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Хог хаягдлыг түр хадгалах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хэсэгт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 xml:space="preserve"> аюулгүйгээр хадгалдаг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180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алдвар хяналтын ажилтанг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дангаар болон хавсарсан орон тоон дээр с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ургаж,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</w:rPr>
              <w:t>дадлагажуулсан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5180" w:type="dxa"/>
          </w:tcPr>
          <w:p w:rsidR="00F75A40" w:rsidRPr="00376573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76573">
              <w:rPr>
                <w:rFonts w:ascii="Arial" w:hAnsi="Arial" w:cs="Arial"/>
                <w:sz w:val="24"/>
                <w:szCs w:val="24"/>
              </w:rPr>
              <w:t>Эмнэлгийн тусламж, үйлчилгээний нэг удаагийн зориулалтын багаж, материалыг хэрэглэдэг, давтан хэрэглэхээс сэргийлж нөөцийг бүрдүүлсэн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5180" w:type="dxa"/>
          </w:tcPr>
          <w:p w:rsidR="00F75A40" w:rsidRPr="007C3A19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</w:t>
            </w:r>
            <w:r w:rsidRPr="000C14A1">
              <w:rPr>
                <w:rFonts w:ascii="Arial" w:eastAsia="Times New Roman" w:hAnsi="Arial" w:cs="Arial"/>
                <w:sz w:val="24"/>
                <w:szCs w:val="24"/>
              </w:rPr>
              <w:t>жилчд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ын</w:t>
            </w:r>
            <w:r w:rsidRPr="000C14A1">
              <w:rPr>
                <w:rFonts w:ascii="Arial" w:eastAsia="Times New Roman" w:hAnsi="Arial" w:cs="Arial"/>
                <w:sz w:val="24"/>
                <w:szCs w:val="24"/>
              </w:rPr>
              <w:t xml:space="preserve"> хувцас солих болон амрах өрөөтэй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84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3E6872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180" w:type="dxa"/>
          </w:tcPr>
          <w:p w:rsidR="00F75A40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838D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Эмнэлгийн тоног төхөөрөмжийн засварын ажилтантай эсвэл гэрээгээр гүйцэтгэдэг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Дүрс оношилгоо: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hAnsi="Arial" w:cs="Arial"/>
                <w:sz w:val="24"/>
                <w:szCs w:val="24"/>
                <w:lang w:val="mn-MN"/>
              </w:rPr>
              <w:t>Цацрагийн үүсгүүр бүхий тоног төхөөрөмж нь зориулалтын хамгаалалттай тусгаарлагдсан өрөөтэй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</w:t>
            </w:r>
            <w:r w:rsidRPr="00A6420F">
              <w:rPr>
                <w:rFonts w:ascii="Arial" w:hAnsi="Arial" w:cs="Arial"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Дүрс оношилгоо: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hAnsi="Arial" w:cs="Arial"/>
                <w:sz w:val="24"/>
                <w:szCs w:val="24"/>
                <w:lang w:val="mn-MN"/>
              </w:rPr>
              <w:t>Цацрагийн үүсгүүр бүхий тоног төхөөрөмж ашигладаг бол Мэргэжлийн Хяналтын Ерөнхий газраас холбогдох зөвшөөрөл авах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0" w:type="dxa"/>
          </w:tcPr>
          <w:p w:rsidR="00F75A40" w:rsidRPr="00123B6C" w:rsidRDefault="00F75A40" w:rsidP="00F75A40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Дүрс оношилгоо: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hAnsi="Arial" w:cs="Arial"/>
                <w:sz w:val="24"/>
                <w:szCs w:val="24"/>
                <w:lang w:val="mn-MN"/>
              </w:rPr>
              <w:t xml:space="preserve">Цацрагийн үүсгүүр бүхий тоног төхөөрөмж ашигладаг бол </w:t>
            </w:r>
            <w:r w:rsidRPr="009D7F64">
              <w:rPr>
                <w:rFonts w:ascii="Arial" w:hAnsi="Arial" w:cs="Arial"/>
                <w:sz w:val="24"/>
                <w:szCs w:val="24"/>
                <w:lang w:val="mn-MN"/>
              </w:rPr>
              <w:t>эмч,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эмнэлгийн </w:t>
            </w:r>
            <w:r w:rsidRPr="009D7F64">
              <w:rPr>
                <w:rFonts w:ascii="Arial" w:hAnsi="Arial" w:cs="Arial"/>
                <w:sz w:val="24"/>
                <w:szCs w:val="24"/>
                <w:lang w:val="mn-MN"/>
              </w:rPr>
              <w:t>ажиллагсдыг хамгаалалтын хувцсаар бүрэн хангасан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0" w:type="dxa"/>
          </w:tcPr>
          <w:p w:rsidR="00F75A40" w:rsidRPr="00A632B5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Дүрс оношилгоо:</w:t>
            </w: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hAnsi="Arial" w:cs="Arial"/>
                <w:sz w:val="24"/>
                <w:szCs w:val="24"/>
                <w:lang w:val="mn-MN"/>
              </w:rPr>
              <w:t xml:space="preserve">Цацрагийн үүсгүүр бүхий тоног төхөөрөмж ашигладаг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9D7F64">
              <w:rPr>
                <w:rFonts w:ascii="Arial" w:hAnsi="Arial" w:cs="Arial"/>
                <w:sz w:val="24"/>
                <w:szCs w:val="24"/>
                <w:lang w:val="mn-MN"/>
              </w:rPr>
              <w:t>мч,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эмнэлгийн </w:t>
            </w:r>
            <w:r w:rsidRPr="009D7F64">
              <w:rPr>
                <w:rFonts w:ascii="Arial" w:hAnsi="Arial" w:cs="Arial"/>
                <w:sz w:val="24"/>
                <w:szCs w:val="24"/>
                <w:lang w:val="mn-MN"/>
              </w:rPr>
              <w:t>ажиллагсдыг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жил бүр Хөдөлмөрийн нөхцөл, мэргэжлээс шалтгаалах өвчин судлалын үндэсний төвд үзлэгт хамрагддаг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Дүрс оношилгоо:</w:t>
            </w: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</w:t>
            </w:r>
            <w:r w:rsidRPr="004838DC">
              <w:rPr>
                <w:rFonts w:ascii="Arial" w:eastAsia="Times New Roman" w:hAnsi="Arial" w:cs="Arial"/>
                <w:sz w:val="24"/>
                <w:szCs w:val="24"/>
              </w:rPr>
              <w:t>Дурангийн ариутгал хийх зориулалтын машинтай, хэвийн ажиллагаатай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66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180" w:type="dxa"/>
          </w:tcPr>
          <w:p w:rsidR="00F75A40" w:rsidRPr="00123B6C" w:rsidRDefault="00F75A40" w:rsidP="00F75A40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  <w:lang w:val="mn-MN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 w:rsidRPr="00123B6C">
              <w:rPr>
                <w:rFonts w:ascii="Arial" w:hAnsi="Arial" w:cs="Arial"/>
                <w:sz w:val="24"/>
                <w:szCs w:val="24"/>
                <w:lang w:val="mn-MN"/>
              </w:rPr>
              <w:t xml:space="preserve">  Ш</w:t>
            </w:r>
            <w:r w:rsidRPr="00123B6C">
              <w:rPr>
                <w:rFonts w:ascii="Arial" w:eastAsia="Times New Roman" w:hAnsi="Arial" w:cs="Arial"/>
                <w:sz w:val="24"/>
                <w:szCs w:val="24"/>
              </w:rPr>
              <w:t>инжилгээний үнэн бодит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123B6C">
              <w:rPr>
                <w:rFonts w:ascii="Arial" w:eastAsia="Times New Roman" w:hAnsi="Arial" w:cs="Arial"/>
                <w:sz w:val="24"/>
                <w:szCs w:val="24"/>
              </w:rPr>
              <w:t xml:space="preserve">байдалд дотоод хяналтыг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тогтмол</w:t>
            </w:r>
            <w:r w:rsidRPr="00123B6C">
              <w:rPr>
                <w:rFonts w:ascii="Arial" w:eastAsia="Times New Roman" w:hAnsi="Arial" w:cs="Arial"/>
                <w:sz w:val="24"/>
                <w:szCs w:val="24"/>
              </w:rPr>
              <w:t xml:space="preserve"> хийдэг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gridSpan w:val="2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2508B" w:rsidRDefault="00B2508B"/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"/>
        <w:gridCol w:w="6"/>
        <w:gridCol w:w="5180"/>
        <w:gridCol w:w="851"/>
        <w:gridCol w:w="900"/>
        <w:gridCol w:w="1654"/>
      </w:tblGrid>
      <w:tr w:rsidR="00F75A40" w:rsidRPr="0067336A" w:rsidTr="00B2508B">
        <w:trPr>
          <w:trHeight w:val="251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2.5.1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180" w:type="dxa"/>
          </w:tcPr>
          <w:p w:rsidR="00F75A40" w:rsidRPr="0078654F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8D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848B7">
              <w:rPr>
                <w:rFonts w:ascii="Arial" w:hAnsi="Arial" w:cs="Arial"/>
                <w:sz w:val="24"/>
                <w:szCs w:val="24"/>
                <w:lang w:val="mn-MN"/>
              </w:rPr>
              <w:t xml:space="preserve">Лабораторийн шинжилгээний гадаад чанарын хяналтыг жилд 2-оос доошгүй удаа </w:t>
            </w:r>
            <w:r w:rsidRPr="00717FD3">
              <w:rPr>
                <w:rFonts w:ascii="Arial" w:eastAsia="Times New Roman" w:hAnsi="Arial" w:cs="Arial"/>
                <w:sz w:val="24"/>
                <w:szCs w:val="24"/>
              </w:rPr>
              <w:t xml:space="preserve">лавлагаа лабораториар </w:t>
            </w:r>
            <w:r w:rsidRPr="001848B7">
              <w:rPr>
                <w:rFonts w:ascii="Arial" w:hAnsi="Arial" w:cs="Arial"/>
                <w:sz w:val="24"/>
                <w:szCs w:val="24"/>
                <w:lang w:val="mn-MN"/>
              </w:rPr>
              <w:t>хийлгэдэг</w:t>
            </w:r>
            <w:r w:rsidRPr="001848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827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518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838D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7C3A19">
              <w:rPr>
                <w:rFonts w:ascii="Arial" w:hAnsi="Arial" w:cs="Arial"/>
                <w:sz w:val="24"/>
                <w:szCs w:val="24"/>
                <w:lang w:val="mn-MN"/>
              </w:rPr>
              <w:t>Оношлуур,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7C3A19">
              <w:rPr>
                <w:rFonts w:ascii="Arial" w:hAnsi="Arial" w:cs="Arial"/>
                <w:sz w:val="24"/>
                <w:szCs w:val="24"/>
                <w:lang w:val="mn-MN"/>
              </w:rPr>
              <w:t xml:space="preserve">урвалж бодис нь хэрэглэх хүчинтэй хугацаа дуусаагүй,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хадагалалтын горим алдагдаагүй, </w:t>
            </w:r>
            <w:r w:rsidRPr="007C3A19">
              <w:rPr>
                <w:rFonts w:ascii="Arial" w:hAnsi="Arial" w:cs="Arial"/>
                <w:sz w:val="24"/>
                <w:szCs w:val="24"/>
                <w:lang w:val="mn-MN"/>
              </w:rPr>
              <w:t>урвалж бодис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болон сорьц</w:t>
            </w:r>
            <w:r w:rsidRPr="007C3A19">
              <w:rPr>
                <w:rFonts w:ascii="Arial" w:hAnsi="Arial" w:cs="Arial"/>
                <w:sz w:val="24"/>
                <w:szCs w:val="24"/>
                <w:lang w:val="mn-MN"/>
              </w:rPr>
              <w:t xml:space="preserve"> хадгалах</w:t>
            </w:r>
            <w:r w:rsidRPr="007C3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A19">
              <w:rPr>
                <w:rFonts w:ascii="Arial" w:hAnsi="Arial" w:cs="Arial"/>
                <w:sz w:val="24"/>
                <w:szCs w:val="24"/>
                <w:lang w:val="mn-MN"/>
              </w:rPr>
              <w:t>хөргөгч тусдаа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016C46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75A40" w:rsidRPr="0067336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4838DC" w:rsidTr="00B2508B">
        <w:trPr>
          <w:trHeight w:val="521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5180" w:type="dxa"/>
          </w:tcPr>
          <w:p w:rsidR="00F75A40" w:rsidRPr="00DE78FA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838D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Ө</w:t>
            </w:r>
            <w:r w:rsidRPr="008C0E36">
              <w:rPr>
                <w:rFonts w:ascii="Arial" w:eastAsia="Times New Roman" w:hAnsi="Arial" w:cs="Arial"/>
                <w:sz w:val="24"/>
                <w:szCs w:val="24"/>
              </w:rPr>
              <w:t>рөө нь агааржуулалтын механик болон автомат системтэй</w:t>
            </w:r>
            <w:r w:rsidRPr="008C0E3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8C0E36">
              <w:rPr>
                <w:rFonts w:ascii="Arial" w:eastAsia="Times New Roman" w:hAnsi="Arial" w:cs="Arial"/>
                <w:sz w:val="24"/>
                <w:szCs w:val="24"/>
              </w:rPr>
              <w:t xml:space="preserve"> хэвийн ажилладаг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 цонх нь шавжнаас хамгаалсан тортой байх /нян судлалын лаборатори нь автомат агааржуулалтын системтэй байна/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4838DC" w:rsidTr="00B2508B">
        <w:trPr>
          <w:trHeight w:val="584"/>
        </w:trPr>
        <w:tc>
          <w:tcPr>
            <w:tcW w:w="913" w:type="dxa"/>
            <w:gridSpan w:val="2"/>
            <w:vAlign w:val="center"/>
          </w:tcPr>
          <w:p w:rsidR="00F75A40" w:rsidRDefault="00F75A40" w:rsidP="00F75A40">
            <w:pPr>
              <w:jc w:val="center"/>
            </w:pPr>
            <w:r w:rsidRPr="00587AD1">
              <w:rPr>
                <w:rFonts w:ascii="Arial" w:hAnsi="Arial" w:cs="Arial"/>
                <w:sz w:val="24"/>
                <w:szCs w:val="24"/>
                <w:lang w:val="mn-MN"/>
              </w:rPr>
              <w:t>2.5.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518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838D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37657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Эрүүл мэндийн ажилтныг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2014 оны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ЭМС-ын 187-р тушаалын дагуу жил бүр эрүүл мэндийн үзлэгт хамруулж эрүүл мэндийн хуудсанд тэмдэглэсэн байх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4838DC" w:rsidTr="00B2508B">
        <w:trPr>
          <w:trHeight w:val="899"/>
        </w:trPr>
        <w:tc>
          <w:tcPr>
            <w:tcW w:w="913" w:type="dxa"/>
            <w:gridSpan w:val="2"/>
            <w:vAlign w:val="center"/>
          </w:tcPr>
          <w:p w:rsidR="00F75A40" w:rsidRPr="009D7F64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2.5.22</w:t>
            </w:r>
          </w:p>
        </w:tc>
        <w:tc>
          <w:tcPr>
            <w:tcW w:w="518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</w:pPr>
            <w:r w:rsidRPr="004838D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</w:t>
            </w:r>
            <w:r w:rsidRPr="00123B6C"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 w:rsidRPr="00F91B0D">
              <w:rPr>
                <w:rFonts w:ascii="Arial" w:hAnsi="Arial" w:cs="Arial"/>
                <w:sz w:val="24"/>
                <w:lang w:val="mn-MN"/>
              </w:rPr>
              <w:t xml:space="preserve">рөө бүрт гар угаах нөхцөл бүрдүүлсэн. </w:t>
            </w:r>
            <w:r>
              <w:rPr>
                <w:rFonts w:ascii="Arial" w:hAnsi="Arial" w:cs="Arial"/>
                <w:sz w:val="24"/>
                <w:lang w:val="mn-MN"/>
              </w:rPr>
              <w:t>Ө</w:t>
            </w:r>
            <w:r w:rsidRPr="00F91B0D">
              <w:rPr>
                <w:rFonts w:ascii="Arial" w:hAnsi="Arial" w:cs="Arial"/>
                <w:sz w:val="24"/>
                <w:lang w:val="mn-MN"/>
              </w:rPr>
              <w:t xml:space="preserve">рөөнүүд </w:t>
            </w:r>
            <w:r>
              <w:rPr>
                <w:rFonts w:ascii="Arial" w:hAnsi="Arial" w:cs="Arial"/>
                <w:sz w:val="24"/>
                <w:lang w:val="mn-MN"/>
              </w:rPr>
              <w:t xml:space="preserve">нь </w:t>
            </w:r>
            <w:r w:rsidRPr="00F91B0D">
              <w:rPr>
                <w:rFonts w:ascii="Arial" w:hAnsi="Arial" w:cs="Arial"/>
                <w:sz w:val="24"/>
                <w:lang w:val="mn-MN"/>
              </w:rPr>
              <w:t>цэвэр цэмцгэр, тухайн өрөөнд хийгдэх ажилд хамааралгүй /хоол унд, аяга, гоо сайхны г.м/ эд зүйлсгүй</w:t>
            </w:r>
            <w:r>
              <w:rPr>
                <w:rFonts w:ascii="Arial" w:hAnsi="Arial" w:cs="Arial"/>
                <w:sz w:val="24"/>
                <w:lang w:val="mn-MN"/>
              </w:rPr>
              <w:t xml:space="preserve">, </w:t>
            </w:r>
            <w:r w:rsidRPr="00F91B0D">
              <w:rPr>
                <w:rFonts w:ascii="Arial" w:hAnsi="Arial" w:cs="Arial"/>
                <w:sz w:val="24"/>
                <w:lang w:val="mn-MN"/>
              </w:rPr>
              <w:t>өрөөний хаалганд олон улсын биоаюулгүйн тэмдэг байрлуулсан.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4838DC" w:rsidTr="00B2508B">
        <w:trPr>
          <w:trHeight w:val="557"/>
        </w:trPr>
        <w:tc>
          <w:tcPr>
            <w:tcW w:w="913" w:type="dxa"/>
            <w:gridSpan w:val="2"/>
            <w:vAlign w:val="center"/>
          </w:tcPr>
          <w:p w:rsidR="00F75A40" w:rsidRPr="009D7F64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2.5.23</w:t>
            </w:r>
          </w:p>
        </w:tc>
        <w:tc>
          <w:tcPr>
            <w:tcW w:w="5180" w:type="dxa"/>
          </w:tcPr>
          <w:p w:rsidR="00F75A40" w:rsidRPr="00123B6C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3B6C">
              <w:rPr>
                <w:rFonts w:ascii="Arial" w:hAnsi="Arial" w:cs="Arial"/>
                <w:i/>
                <w:sz w:val="24"/>
                <w:szCs w:val="24"/>
                <w:u w:val="single"/>
                <w:lang w:val="mn-MN"/>
              </w:rPr>
              <w:t>Лабораторид:</w:t>
            </w:r>
            <w:r w:rsidRPr="00123B6C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Pr="00123B6C">
              <w:rPr>
                <w:rFonts w:ascii="Arial" w:hAnsi="Arial" w:cs="Arial"/>
                <w:sz w:val="24"/>
                <w:szCs w:val="24"/>
                <w:lang w:val="mn-MN"/>
              </w:rPr>
              <w:t>орьц хүлээн авах, угаалга, ариутгалын хэсэгтэй бай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851" w:type="dxa"/>
            <w:vAlign w:val="center"/>
          </w:tcPr>
          <w:p w:rsidR="00F75A40" w:rsidRDefault="00F75A40" w:rsidP="00F75A40">
            <w:pPr>
              <w:jc w:val="center"/>
            </w:pPr>
            <w:r w:rsidRPr="009E5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</w:tcPr>
          <w:p w:rsidR="00F75A40" w:rsidRPr="004838DC" w:rsidRDefault="00F75A40" w:rsidP="00F75A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62DAE" w:rsidRPr="0067336A" w:rsidTr="00E73AE7">
        <w:trPr>
          <w:trHeight w:val="431"/>
        </w:trPr>
        <w:tc>
          <w:tcPr>
            <w:tcW w:w="9498" w:type="dxa"/>
            <w:gridSpan w:val="6"/>
            <w:shd w:val="clear" w:color="auto" w:fill="F7CAAC" w:themeFill="accent2" w:themeFillTint="66"/>
          </w:tcPr>
          <w:p w:rsidR="00562DAE" w:rsidRPr="00D15311" w:rsidRDefault="00562DAE" w:rsidP="00562DAE">
            <w:pPr>
              <w:pStyle w:val="ListParagraph"/>
              <w:numPr>
                <w:ilvl w:val="1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15311">
              <w:rPr>
                <w:rFonts w:ascii="Arial" w:hAnsi="Arial" w:cs="Arial"/>
                <w:sz w:val="24"/>
                <w:szCs w:val="24"/>
                <w:lang w:val="mn-MN"/>
              </w:rPr>
              <w:t>Эмийн сан</w:t>
            </w:r>
          </w:p>
        </w:tc>
      </w:tr>
      <w:tr w:rsidR="00F75A40" w:rsidRPr="0067336A" w:rsidTr="00B2508B">
        <w:trPr>
          <w:trHeight w:val="602"/>
        </w:trPr>
        <w:tc>
          <w:tcPr>
            <w:tcW w:w="907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2.6.1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F75A40" w:rsidRPr="00346D69" w:rsidRDefault="00F75A40" w:rsidP="00F75A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28AD">
              <w:rPr>
                <w:rFonts w:ascii="Arial" w:eastAsia="Times New Roman" w:hAnsi="Arial" w:cs="Arial"/>
                <w:sz w:val="24"/>
                <w:szCs w:val="23"/>
              </w:rPr>
              <w:t>Эмийн гаралтай хог хаягдлыг зориулалтын хүрэн өнгийн уут, саванд ангилан ялгадаг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F70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521"/>
        </w:trPr>
        <w:tc>
          <w:tcPr>
            <w:tcW w:w="907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876B78">
              <w:rPr>
                <w:rFonts w:ascii="Arial" w:hAnsi="Arial" w:cs="Arial"/>
                <w:sz w:val="24"/>
                <w:szCs w:val="24"/>
                <w:lang w:val="mn-MN"/>
              </w:rPr>
              <w:t>2.6.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F75A40" w:rsidRPr="00AB562F" w:rsidRDefault="00F75A40" w:rsidP="00F75A40">
            <w:pPr>
              <w:rPr>
                <w:rFonts w:ascii="Arial" w:eastAsia="Times New Roman" w:hAnsi="Arial" w:cs="Arial"/>
                <w:sz w:val="24"/>
                <w:szCs w:val="23"/>
              </w:rPr>
            </w:pPr>
            <w:r w:rsidRPr="000F28AD">
              <w:rPr>
                <w:rFonts w:ascii="Arial" w:eastAsia="Times New Roman" w:hAnsi="Arial" w:cs="Arial"/>
                <w:sz w:val="24"/>
                <w:szCs w:val="23"/>
              </w:rPr>
              <w:t>Эмийн гаралтай хог хаягдлыг зааврын дагуу устгаж, баримтжуулдаг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F70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1412"/>
        </w:trPr>
        <w:tc>
          <w:tcPr>
            <w:tcW w:w="907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876B78">
              <w:rPr>
                <w:rFonts w:ascii="Arial" w:hAnsi="Arial" w:cs="Arial"/>
                <w:sz w:val="24"/>
                <w:szCs w:val="24"/>
                <w:lang w:val="mn-MN"/>
              </w:rPr>
              <w:t>2.6.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F75A40" w:rsidRPr="005012B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Өрөө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тасалгаанууд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хоорондоо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тусгаарлагдсан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ба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хүний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эрүүл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мэндэд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сөрөг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нөлөөлөхгүй,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цэвэрлэж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халдваргүйтгэхэд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хялбар,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зориулалтын</w:t>
            </w:r>
          </w:p>
          <w:p w:rsidR="00F75A40" w:rsidRPr="005012BF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12BF">
              <w:rPr>
                <w:rFonts w:ascii="Arial" w:eastAsia="Times New Roman" w:hAnsi="Arial" w:cs="Arial"/>
                <w:sz w:val="24"/>
                <w:szCs w:val="24"/>
              </w:rPr>
              <w:t>материалаар хийгдсэн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F70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07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876B78">
              <w:rPr>
                <w:rFonts w:ascii="Arial" w:hAnsi="Arial" w:cs="Arial"/>
                <w:sz w:val="24"/>
                <w:szCs w:val="24"/>
                <w:lang w:val="mn-MN"/>
              </w:rPr>
              <w:t>2.6.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Жин, хэмжүүр, багаж, тоног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төхөөрөмжийг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холбогдох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эрх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бүхий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байгууллагаар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баталгаажуу</w:t>
            </w:r>
            <w:r w:rsidRPr="00CA131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лах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/1 дүгээр зэрэглэл/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F70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07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876B78">
              <w:rPr>
                <w:rFonts w:ascii="Arial" w:hAnsi="Arial" w:cs="Arial"/>
                <w:sz w:val="24"/>
                <w:szCs w:val="24"/>
                <w:lang w:val="mn-MN"/>
              </w:rPr>
              <w:t>2.6.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F75A40" w:rsidRPr="002C2D5C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 w:rsidRPr="002C2D5C">
              <w:rPr>
                <w:rFonts w:ascii="Arial" w:eastAsia="Times New Roman" w:hAnsi="Arial" w:cs="Arial"/>
                <w:sz w:val="24"/>
                <w:szCs w:val="23"/>
              </w:rPr>
              <w:t xml:space="preserve">Эмийн санд найруулсан эм, бэлдмэлийг савлах шил савны угаалт, ариутгалын байдлыг тогтмол шалгаж, тэмдэглэл </w:t>
            </w:r>
          </w:p>
          <w:p w:rsidR="00F75A40" w:rsidRPr="002C2D5C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C2D5C">
              <w:rPr>
                <w:rFonts w:ascii="Arial" w:eastAsia="Times New Roman" w:hAnsi="Arial" w:cs="Arial"/>
                <w:sz w:val="24"/>
                <w:szCs w:val="23"/>
              </w:rPr>
              <w:t>Хөтөлдөг</w:t>
            </w:r>
            <w:r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/1 дүгээр зэрэглэл/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F70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07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876B78">
              <w:rPr>
                <w:rFonts w:ascii="Arial" w:hAnsi="Arial" w:cs="Arial"/>
                <w:sz w:val="24"/>
                <w:szCs w:val="24"/>
                <w:lang w:val="mn-MN"/>
              </w:rPr>
              <w:t>2.6.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Нөөцийн өрөө нь эм, эмнэлгийн хэрэгслийг үйлдвэрлэгчийн заасан нөхцөлд хадгалах шаардлагыг хангасан төхөөрөмж болон хүрэлцэхүйц хэмжээний зориулалтын тавиуртай байна.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F70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2508B" w:rsidRDefault="00B2508B"/>
    <w:p w:rsidR="00B2508B" w:rsidRDefault="00B2508B"/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4"/>
        <w:gridCol w:w="13"/>
        <w:gridCol w:w="5186"/>
        <w:gridCol w:w="31"/>
        <w:gridCol w:w="820"/>
        <w:gridCol w:w="900"/>
        <w:gridCol w:w="1654"/>
      </w:tblGrid>
      <w:tr w:rsidR="00F75A40" w:rsidRPr="0067336A" w:rsidTr="00B2508B">
        <w:trPr>
          <w:trHeight w:val="43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Pr="00876B78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2.6.7</w:t>
            </w:r>
          </w:p>
        </w:tc>
        <w:tc>
          <w:tcPr>
            <w:tcW w:w="5186" w:type="dxa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Эмийн сангийн дотоод бэлдмэлийг найруулан бэлтгэх үйл ажиллагаа явуулдаг бол чанарын шинжилгээ хийх шаардлага хангасан, зориулалтын эм шинжилгээний ширээ эсхүл өрөөтэй байна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/1 дүгээр зэрэглэл/</w:t>
            </w: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115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Pr="00B22A26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22A26">
              <w:rPr>
                <w:rFonts w:ascii="Arial" w:hAnsi="Arial" w:cs="Arial"/>
                <w:sz w:val="24"/>
                <w:szCs w:val="24"/>
                <w:lang w:val="mn-MN"/>
              </w:rPr>
              <w:t>2.6.8</w:t>
            </w:r>
          </w:p>
        </w:tc>
        <w:tc>
          <w:tcPr>
            <w:tcW w:w="5186" w:type="dxa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Эмийн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гаж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нөлөөний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мэдээллийг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цуглуулах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хайрцгийг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харагдахуйц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газар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байрлуулж, эмийн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гаж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нөлөөг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мэдээлэх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шар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хуудсаар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анга</w:t>
            </w:r>
            <w:r w:rsidRPr="00CA131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сан эсэх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Pr="00B22A26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22A26">
              <w:rPr>
                <w:rFonts w:ascii="Arial" w:hAnsi="Arial" w:cs="Arial"/>
                <w:sz w:val="24"/>
                <w:szCs w:val="24"/>
                <w:lang w:val="mn-MN"/>
              </w:rPr>
              <w:t>2.6.9</w:t>
            </w:r>
          </w:p>
        </w:tc>
        <w:tc>
          <w:tcPr>
            <w:tcW w:w="5186" w:type="dxa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Эмийн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сангийн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ажиллагсад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Эрүүл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мэндийн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үзлэг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Times New Roman" w:hAnsi="Arial" w:cs="Arial"/>
                <w:sz w:val="24"/>
                <w:szCs w:val="24"/>
              </w:rPr>
              <w:t>шинжилгээнд</w:t>
            </w:r>
            <w:r w:rsidRPr="00CA131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хамрагдсан эсэх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Pr="00B22A26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2.6.10</w:t>
            </w:r>
          </w:p>
        </w:tc>
        <w:tc>
          <w:tcPr>
            <w:tcW w:w="5186" w:type="dxa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E8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Стандартын шаардлага хангасан хаягжилттай байх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79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2.6.11</w:t>
            </w:r>
          </w:p>
        </w:tc>
        <w:tc>
          <w:tcPr>
            <w:tcW w:w="5186" w:type="dxa"/>
            <w:shd w:val="clear" w:color="auto" w:fill="auto"/>
          </w:tcPr>
          <w:p w:rsidR="00F75A40" w:rsidRPr="001F417D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Монгол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улсын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эмийн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бүртгэлд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бүртгэгдсэн</w:t>
            </w:r>
          </w:p>
          <w:p w:rsidR="00F75A40" w:rsidRPr="007E3E84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эм,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биологийн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идэвхт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бүтээгдэхүүн,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эмнэлгийн</w:t>
            </w:r>
            <w:r w:rsidRPr="002C2D5C">
              <w:rPr>
                <w:rFonts w:ascii="Arial" w:eastAsia="Times New Roman" w:hAnsi="Arial" w:cs="Arial"/>
                <w:sz w:val="24"/>
                <w:szCs w:val="23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3"/>
              </w:rPr>
              <w:t>хэрэгслээр үйлчилдэг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79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2.6.12</w:t>
            </w:r>
          </w:p>
        </w:tc>
        <w:tc>
          <w:tcPr>
            <w:tcW w:w="5186" w:type="dxa"/>
            <w:shd w:val="clear" w:color="auto" w:fill="auto"/>
          </w:tcPr>
          <w:p w:rsidR="00F75A40" w:rsidRPr="002C2D5C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 w:rsidRPr="002C2D5C">
              <w:rPr>
                <w:rFonts w:ascii="Arial" w:eastAsia="Times New Roman" w:hAnsi="Arial" w:cs="Arial"/>
                <w:sz w:val="24"/>
                <w:szCs w:val="23"/>
              </w:rPr>
              <w:t xml:space="preserve">Мансууруулах болон сэтгэцэд нөлөөт эмийг зохих журмын дагуу тусгайлан битүүмжилж, </w:t>
            </w:r>
          </w:p>
          <w:p w:rsidR="00F75A40" w:rsidRPr="001F417D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 w:rsidRPr="002C2D5C">
              <w:rPr>
                <w:rFonts w:ascii="Arial" w:eastAsia="Times New Roman" w:hAnsi="Arial" w:cs="Arial"/>
                <w:sz w:val="24"/>
                <w:szCs w:val="23"/>
              </w:rPr>
              <w:t>зориулалтын шүүгээнд хадгалдаг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791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2.3.13</w:t>
            </w:r>
          </w:p>
        </w:tc>
        <w:tc>
          <w:tcPr>
            <w:tcW w:w="5186" w:type="dxa"/>
            <w:shd w:val="clear" w:color="auto" w:fill="auto"/>
          </w:tcPr>
          <w:p w:rsidR="00F75A40" w:rsidRPr="002C2D5C" w:rsidRDefault="00F75A40" w:rsidP="00F75A40">
            <w:pPr>
              <w:jc w:val="both"/>
              <w:rPr>
                <w:rFonts w:ascii="Arial" w:eastAsia="Times New Roman" w:hAnsi="Arial" w:cs="Arial"/>
                <w:sz w:val="24"/>
                <w:szCs w:val="23"/>
              </w:rPr>
            </w:pPr>
            <w:r w:rsidRPr="002C2D5C">
              <w:rPr>
                <w:rFonts w:ascii="Arial" w:eastAsia="Times New Roman" w:hAnsi="Arial" w:cs="Arial"/>
                <w:sz w:val="24"/>
                <w:szCs w:val="23"/>
              </w:rPr>
              <w:t xml:space="preserve">Мансууруулах, сэтгэцэд нөлөөт эмийн орлого, зарлага, устгалын бүртгэл хөтөлж, тайлан гаргадаг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092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Pr="00500EEB" w:rsidRDefault="00F75A40" w:rsidP="00F75A40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C2D5C" w:rsidRPr="0067336A" w:rsidTr="007E386B">
        <w:trPr>
          <w:trHeight w:val="431"/>
        </w:trPr>
        <w:tc>
          <w:tcPr>
            <w:tcW w:w="9498" w:type="dxa"/>
            <w:gridSpan w:val="7"/>
            <w:shd w:val="clear" w:color="auto" w:fill="F7CAAC" w:themeFill="accent2" w:themeFillTint="66"/>
          </w:tcPr>
          <w:p w:rsidR="002C2D5C" w:rsidRPr="00D15311" w:rsidRDefault="002C2D5C" w:rsidP="002C2D5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2.7 </w:t>
            </w:r>
            <w:r w:rsidRPr="00D15311">
              <w:rPr>
                <w:rFonts w:ascii="Arial" w:hAnsi="Arial" w:cs="Arial"/>
                <w:sz w:val="24"/>
                <w:szCs w:val="24"/>
                <w:lang w:val="mn-MN"/>
              </w:rPr>
              <w:t>Ахуйн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D15311">
              <w:rPr>
                <w:rFonts w:ascii="Arial" w:hAnsi="Arial" w:cs="Arial"/>
                <w:sz w:val="24"/>
                <w:szCs w:val="24"/>
                <w:lang w:val="mn-MN"/>
              </w:rPr>
              <w:t>хортон шавж, мэрэгч устгал,</w:t>
            </w:r>
          </w:p>
          <w:p w:rsidR="002C2D5C" w:rsidRPr="00D20D32" w:rsidRDefault="002C2D5C" w:rsidP="002C2D5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87556">
              <w:rPr>
                <w:rFonts w:ascii="Arial" w:hAnsi="Arial" w:cs="Arial"/>
                <w:sz w:val="24"/>
                <w:szCs w:val="24"/>
                <w:lang w:val="mn-MN"/>
              </w:rPr>
              <w:t>ариутгах үйлчилгээний газар</w:t>
            </w: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2.7.1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Шаардлага хангахуйц өрөө тасалгаатай /ажлын болон амралтын өрөө, химийн бодис найруулах өрөө, хадгалах агуулах, багаж тоног төхөөрөмжийн зэрэг/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7D2A94"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Үйлчлэх хүрээний шавж, мэрэгчийн судалгаа хийсэн эсэх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7D2A94"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Багаж тоног төхөөрөмжийн хангалт, засвар үйлчилгээ, үзлэг тохируулгыг баталгаажуулсан эсэх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7D2A94"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Үйлчилгээг хэвийн явуулах техникийн /зориулалтын/ шаардлага хангасан автомашинтай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7D2A94"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Ажиллагсад нь эрүүл мэндийн үзлэг, шинжилгээнд хамрагдсан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7D2A94"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Аюулгүй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</w:t>
            </w: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ажиллагааны дүрмийг боловсруулан баталж, мөрддөг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7D2A94"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Ажлын байранд аюулгүй ажиллагааны санамж, анхааруулгыг ил байрлуулсан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2.7.8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A131A">
              <w:rPr>
                <w:rFonts w:ascii="Arial" w:eastAsia="Calibri" w:hAnsi="Arial" w:cs="Arial"/>
                <w:sz w:val="24"/>
                <w:szCs w:val="24"/>
                <w:lang w:val="mn-MN"/>
              </w:rPr>
              <w:t>Анхны тусламж үзүүлэх шаардлага хангасан MNS 5161-1:2002 стандартын В хавсралтад заасан эм хэрэгсэлтэй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5A40" w:rsidRPr="0067336A" w:rsidTr="00B2508B">
        <w:trPr>
          <w:trHeight w:val="431"/>
        </w:trPr>
        <w:tc>
          <w:tcPr>
            <w:tcW w:w="894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2.7.9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F75A40" w:rsidRPr="00CA131A" w:rsidRDefault="00F75A40" w:rsidP="00F75A40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1F417D">
              <w:rPr>
                <w:rFonts w:ascii="Arial" w:eastAsia="Times New Roman" w:hAnsi="Arial" w:cs="Arial"/>
                <w:sz w:val="24"/>
                <w:szCs w:val="21"/>
              </w:rPr>
              <w:t>Химийн хорт болон аюултай бодис нь зориулалтын сав</w:t>
            </w:r>
            <w:r>
              <w:rPr>
                <w:rFonts w:ascii="Arial" w:eastAsia="Times New Roman" w:hAnsi="Arial" w:cs="Arial"/>
                <w:sz w:val="24"/>
                <w:szCs w:val="21"/>
              </w:rPr>
              <w:t xml:space="preserve">, баглаа боодол, </w:t>
            </w:r>
            <w:r>
              <w:rPr>
                <w:rFonts w:ascii="Arial" w:eastAsia="Times New Roman" w:hAnsi="Arial" w:cs="Arial"/>
                <w:sz w:val="24"/>
                <w:szCs w:val="21"/>
                <w:lang w:val="mn-MN"/>
              </w:rPr>
              <w:t>с</w:t>
            </w:r>
            <w:r w:rsidRPr="001F417D">
              <w:rPr>
                <w:rFonts w:ascii="Arial" w:eastAsia="Times New Roman" w:hAnsi="Arial" w:cs="Arial"/>
                <w:sz w:val="24"/>
                <w:szCs w:val="21"/>
              </w:rPr>
              <w:t>тандартын</w:t>
            </w:r>
            <w:r>
              <w:rPr>
                <w:rFonts w:ascii="Arial" w:eastAsia="Times New Roman" w:hAnsi="Arial" w:cs="Arial"/>
                <w:sz w:val="24"/>
                <w:szCs w:val="21"/>
                <w:lang w:val="mn-MN"/>
              </w:rPr>
              <w:t xml:space="preserve"> </w:t>
            </w:r>
            <w:r w:rsidRPr="001F417D">
              <w:rPr>
                <w:rFonts w:ascii="Arial" w:eastAsia="Times New Roman" w:hAnsi="Arial" w:cs="Arial"/>
                <w:sz w:val="24"/>
                <w:szCs w:val="21"/>
              </w:rPr>
              <w:t>шаардлага хангасан хаяг</w:t>
            </w:r>
            <w:r>
              <w:rPr>
                <w:rFonts w:ascii="Arial" w:eastAsia="Times New Roman" w:hAnsi="Arial" w:cs="Arial"/>
                <w:sz w:val="24"/>
                <w:szCs w:val="21"/>
                <w:lang w:val="mn-MN"/>
              </w:rPr>
              <w:t xml:space="preserve">тай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75A40" w:rsidRDefault="00F75A40" w:rsidP="00F75A40">
            <w:pPr>
              <w:jc w:val="center"/>
            </w:pPr>
            <w:r w:rsidRPr="00E41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54" w:type="dxa"/>
            <w:shd w:val="clear" w:color="auto" w:fill="auto"/>
          </w:tcPr>
          <w:p w:rsidR="00F75A40" w:rsidRDefault="00F75A40" w:rsidP="00F75A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FA2CF7" w:rsidRDefault="00FA2CF7" w:rsidP="00812738">
      <w:pPr>
        <w:spacing w:after="0" w:line="240" w:lineRule="auto"/>
        <w:rPr>
          <w:rFonts w:ascii="Arial" w:hAnsi="Arial" w:cs="Arial"/>
          <w:sz w:val="20"/>
          <w:szCs w:val="24"/>
          <w:lang w:val="mn-MN"/>
        </w:rPr>
      </w:pPr>
    </w:p>
    <w:p w:rsidR="00F75A40" w:rsidRPr="00FA2CF7" w:rsidRDefault="00812738" w:rsidP="00812738">
      <w:pPr>
        <w:spacing w:after="0" w:line="240" w:lineRule="auto"/>
        <w:rPr>
          <w:rFonts w:ascii="Arial" w:hAnsi="Arial" w:cs="Arial"/>
          <w:sz w:val="20"/>
          <w:szCs w:val="24"/>
          <w:lang w:val="mn-MN"/>
        </w:rPr>
      </w:pPr>
      <w:r w:rsidRPr="00FA2CF7">
        <w:rPr>
          <w:rFonts w:ascii="Arial" w:hAnsi="Arial" w:cs="Arial"/>
          <w:sz w:val="20"/>
          <w:szCs w:val="24"/>
          <w:lang w:val="mn-MN"/>
        </w:rPr>
        <w:t xml:space="preserve">Ажлын байранд хуулийн этгээдийг төлөөлсөн хүний гарын үсэг                </w:t>
      </w:r>
      <w:r w:rsidR="00FA2CF7">
        <w:rPr>
          <w:rFonts w:ascii="Arial" w:hAnsi="Arial" w:cs="Arial"/>
          <w:sz w:val="20"/>
          <w:szCs w:val="24"/>
          <w:lang w:val="mn-MN"/>
        </w:rPr>
        <w:t xml:space="preserve">              </w:t>
      </w:r>
      <w:r w:rsidRPr="00FA2CF7">
        <w:rPr>
          <w:rFonts w:ascii="Arial" w:hAnsi="Arial" w:cs="Arial"/>
          <w:sz w:val="20"/>
          <w:szCs w:val="24"/>
          <w:lang w:val="mn-MN"/>
        </w:rPr>
        <w:t xml:space="preserve">  /          </w:t>
      </w:r>
      <w:r w:rsidR="00FA2CF7">
        <w:rPr>
          <w:rFonts w:ascii="Arial" w:hAnsi="Arial" w:cs="Arial"/>
          <w:sz w:val="20"/>
          <w:szCs w:val="24"/>
          <w:lang w:val="mn-MN"/>
        </w:rPr>
        <w:t xml:space="preserve">             </w:t>
      </w:r>
      <w:r w:rsidRPr="00FA2CF7">
        <w:rPr>
          <w:rFonts w:ascii="Arial" w:hAnsi="Arial" w:cs="Arial"/>
          <w:sz w:val="20"/>
          <w:szCs w:val="24"/>
          <w:lang w:val="mn-MN"/>
        </w:rPr>
        <w:t xml:space="preserve">    /</w:t>
      </w:r>
      <w:bookmarkStart w:id="0" w:name="_GoBack"/>
      <w:bookmarkEnd w:id="0"/>
    </w:p>
    <w:sectPr w:rsidR="00F75A40" w:rsidRPr="00FA2CF7" w:rsidSect="00AA2CF9">
      <w:pgSz w:w="11906" w:h="16820"/>
      <w:pgMar w:top="1134" w:right="849" w:bottom="1134" w:left="1701" w:header="0" w:footer="720" w:gutter="0"/>
      <w:cols w:space="72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E5"/>
    <w:multiLevelType w:val="hybridMultilevel"/>
    <w:tmpl w:val="251ADF20"/>
    <w:lvl w:ilvl="0" w:tplc="EB1C44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A28D7"/>
    <w:multiLevelType w:val="hybridMultilevel"/>
    <w:tmpl w:val="E0C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C27"/>
    <w:multiLevelType w:val="hybridMultilevel"/>
    <w:tmpl w:val="C8307498"/>
    <w:lvl w:ilvl="0" w:tplc="699A9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5CA2"/>
    <w:multiLevelType w:val="hybridMultilevel"/>
    <w:tmpl w:val="E402A1A0"/>
    <w:lvl w:ilvl="0" w:tplc="DF9CF3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F3AB2"/>
    <w:multiLevelType w:val="hybridMultilevel"/>
    <w:tmpl w:val="53F8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A3B5B"/>
    <w:multiLevelType w:val="hybridMultilevel"/>
    <w:tmpl w:val="A888F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C6071"/>
    <w:multiLevelType w:val="hybridMultilevel"/>
    <w:tmpl w:val="1D32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2B4A"/>
    <w:multiLevelType w:val="hybridMultilevel"/>
    <w:tmpl w:val="7E56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11CD"/>
    <w:multiLevelType w:val="hybridMultilevel"/>
    <w:tmpl w:val="77AA2F82"/>
    <w:lvl w:ilvl="0" w:tplc="447E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B4A8D"/>
    <w:multiLevelType w:val="hybridMultilevel"/>
    <w:tmpl w:val="93E4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4583"/>
    <w:multiLevelType w:val="hybridMultilevel"/>
    <w:tmpl w:val="98824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A1C60"/>
    <w:multiLevelType w:val="hybridMultilevel"/>
    <w:tmpl w:val="721E5422"/>
    <w:lvl w:ilvl="0" w:tplc="4DBC7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05F2C"/>
    <w:multiLevelType w:val="hybridMultilevel"/>
    <w:tmpl w:val="5BEA7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56030"/>
    <w:multiLevelType w:val="hybridMultilevel"/>
    <w:tmpl w:val="DC9CD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1C03"/>
    <w:multiLevelType w:val="multilevel"/>
    <w:tmpl w:val="9628F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3E0B27"/>
    <w:multiLevelType w:val="hybridMultilevel"/>
    <w:tmpl w:val="F7F89EE8"/>
    <w:lvl w:ilvl="0" w:tplc="49E8B1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F25A5"/>
    <w:multiLevelType w:val="hybridMultilevel"/>
    <w:tmpl w:val="A1969298"/>
    <w:lvl w:ilvl="0" w:tplc="98D21C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6FD8"/>
    <w:multiLevelType w:val="hybridMultilevel"/>
    <w:tmpl w:val="003685BA"/>
    <w:lvl w:ilvl="0" w:tplc="04F2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D02"/>
    <w:multiLevelType w:val="hybridMultilevel"/>
    <w:tmpl w:val="0DFE19B6"/>
    <w:lvl w:ilvl="0" w:tplc="182E1B8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317FD"/>
    <w:multiLevelType w:val="hybridMultilevel"/>
    <w:tmpl w:val="56C8BE34"/>
    <w:lvl w:ilvl="0" w:tplc="6144F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676F1"/>
    <w:multiLevelType w:val="hybridMultilevel"/>
    <w:tmpl w:val="BD8C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2E1B"/>
    <w:multiLevelType w:val="hybridMultilevel"/>
    <w:tmpl w:val="DC564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C647A"/>
    <w:multiLevelType w:val="multilevel"/>
    <w:tmpl w:val="096A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903A6F"/>
    <w:multiLevelType w:val="hybridMultilevel"/>
    <w:tmpl w:val="EC82D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719B2"/>
    <w:multiLevelType w:val="hybridMultilevel"/>
    <w:tmpl w:val="16D41A76"/>
    <w:lvl w:ilvl="0" w:tplc="04F2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C23A6"/>
    <w:multiLevelType w:val="hybridMultilevel"/>
    <w:tmpl w:val="70529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23"/>
  </w:num>
  <w:num w:numId="12">
    <w:abstractNumId w:val="4"/>
  </w:num>
  <w:num w:numId="13">
    <w:abstractNumId w:val="24"/>
  </w:num>
  <w:num w:numId="14">
    <w:abstractNumId w:val="17"/>
  </w:num>
  <w:num w:numId="15">
    <w:abstractNumId w:val="25"/>
  </w:num>
  <w:num w:numId="16">
    <w:abstractNumId w:val="12"/>
  </w:num>
  <w:num w:numId="17">
    <w:abstractNumId w:val="13"/>
  </w:num>
  <w:num w:numId="18">
    <w:abstractNumId w:val="15"/>
  </w:num>
  <w:num w:numId="19">
    <w:abstractNumId w:val="11"/>
  </w:num>
  <w:num w:numId="20">
    <w:abstractNumId w:val="2"/>
  </w:num>
  <w:num w:numId="21">
    <w:abstractNumId w:val="20"/>
  </w:num>
  <w:num w:numId="22">
    <w:abstractNumId w:val="22"/>
  </w:num>
  <w:num w:numId="23">
    <w:abstractNumId w:val="14"/>
  </w:num>
  <w:num w:numId="24">
    <w:abstractNumId w:val="1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AAC"/>
    <w:rsid w:val="0000013A"/>
    <w:rsid w:val="00001F02"/>
    <w:rsid w:val="0001450B"/>
    <w:rsid w:val="00014E46"/>
    <w:rsid w:val="00016C46"/>
    <w:rsid w:val="00026818"/>
    <w:rsid w:val="0003424D"/>
    <w:rsid w:val="00040EC0"/>
    <w:rsid w:val="00047ADD"/>
    <w:rsid w:val="00051F01"/>
    <w:rsid w:val="00053719"/>
    <w:rsid w:val="00054170"/>
    <w:rsid w:val="00057F36"/>
    <w:rsid w:val="00066933"/>
    <w:rsid w:val="000677BE"/>
    <w:rsid w:val="00075C5E"/>
    <w:rsid w:val="00081F81"/>
    <w:rsid w:val="00087462"/>
    <w:rsid w:val="00090EC6"/>
    <w:rsid w:val="00092EDD"/>
    <w:rsid w:val="000961DC"/>
    <w:rsid w:val="00096EF0"/>
    <w:rsid w:val="000A0DF0"/>
    <w:rsid w:val="000B015D"/>
    <w:rsid w:val="000B1624"/>
    <w:rsid w:val="000C14A1"/>
    <w:rsid w:val="000C2CD7"/>
    <w:rsid w:val="000C3A1A"/>
    <w:rsid w:val="000C5B65"/>
    <w:rsid w:val="000C6E92"/>
    <w:rsid w:val="000D4604"/>
    <w:rsid w:val="000E2769"/>
    <w:rsid w:val="000E38B5"/>
    <w:rsid w:val="000E5CB3"/>
    <w:rsid w:val="000F28AD"/>
    <w:rsid w:val="00100169"/>
    <w:rsid w:val="00103380"/>
    <w:rsid w:val="001043CA"/>
    <w:rsid w:val="00106ECD"/>
    <w:rsid w:val="00110F33"/>
    <w:rsid w:val="0012279E"/>
    <w:rsid w:val="00123B6C"/>
    <w:rsid w:val="00125021"/>
    <w:rsid w:val="00127D20"/>
    <w:rsid w:val="00131141"/>
    <w:rsid w:val="00132F0A"/>
    <w:rsid w:val="0013560B"/>
    <w:rsid w:val="0013735C"/>
    <w:rsid w:val="00142176"/>
    <w:rsid w:val="00154D30"/>
    <w:rsid w:val="00155300"/>
    <w:rsid w:val="00156F85"/>
    <w:rsid w:val="00157277"/>
    <w:rsid w:val="00160105"/>
    <w:rsid w:val="0016473D"/>
    <w:rsid w:val="001720C5"/>
    <w:rsid w:val="00176528"/>
    <w:rsid w:val="001769AC"/>
    <w:rsid w:val="00181B8B"/>
    <w:rsid w:val="001848B7"/>
    <w:rsid w:val="001852DF"/>
    <w:rsid w:val="001863C1"/>
    <w:rsid w:val="001869A5"/>
    <w:rsid w:val="00190019"/>
    <w:rsid w:val="001904C5"/>
    <w:rsid w:val="00193AAC"/>
    <w:rsid w:val="001941B1"/>
    <w:rsid w:val="00197FC2"/>
    <w:rsid w:val="001A7AC2"/>
    <w:rsid w:val="001B3EF1"/>
    <w:rsid w:val="001B7375"/>
    <w:rsid w:val="001C3A7C"/>
    <w:rsid w:val="001C774A"/>
    <w:rsid w:val="001D6622"/>
    <w:rsid w:val="001E6859"/>
    <w:rsid w:val="001F3E0D"/>
    <w:rsid w:val="001F417D"/>
    <w:rsid w:val="00200245"/>
    <w:rsid w:val="002006A9"/>
    <w:rsid w:val="00221F49"/>
    <w:rsid w:val="00224DD3"/>
    <w:rsid w:val="00225B56"/>
    <w:rsid w:val="00232CB9"/>
    <w:rsid w:val="00241671"/>
    <w:rsid w:val="002457D4"/>
    <w:rsid w:val="00254AAC"/>
    <w:rsid w:val="002653D5"/>
    <w:rsid w:val="00275F53"/>
    <w:rsid w:val="0028784A"/>
    <w:rsid w:val="00294C8A"/>
    <w:rsid w:val="0029583E"/>
    <w:rsid w:val="002A115B"/>
    <w:rsid w:val="002A24BF"/>
    <w:rsid w:val="002A47BC"/>
    <w:rsid w:val="002B4905"/>
    <w:rsid w:val="002C0015"/>
    <w:rsid w:val="002C1A1A"/>
    <w:rsid w:val="002C2D5C"/>
    <w:rsid w:val="002C5679"/>
    <w:rsid w:val="002C796D"/>
    <w:rsid w:val="002D4B24"/>
    <w:rsid w:val="002D6B6D"/>
    <w:rsid w:val="002D714D"/>
    <w:rsid w:val="002E2021"/>
    <w:rsid w:val="002E3A64"/>
    <w:rsid w:val="002F460C"/>
    <w:rsid w:val="002F5816"/>
    <w:rsid w:val="00304BF1"/>
    <w:rsid w:val="003113A5"/>
    <w:rsid w:val="003123C9"/>
    <w:rsid w:val="003124A6"/>
    <w:rsid w:val="003162BC"/>
    <w:rsid w:val="0032361E"/>
    <w:rsid w:val="00335229"/>
    <w:rsid w:val="00345AB2"/>
    <w:rsid w:val="00346D69"/>
    <w:rsid w:val="00353C4F"/>
    <w:rsid w:val="003551C9"/>
    <w:rsid w:val="00355341"/>
    <w:rsid w:val="0035536F"/>
    <w:rsid w:val="0035548F"/>
    <w:rsid w:val="003633DB"/>
    <w:rsid w:val="00363E5F"/>
    <w:rsid w:val="00375EB2"/>
    <w:rsid w:val="00376573"/>
    <w:rsid w:val="00381F62"/>
    <w:rsid w:val="0038203E"/>
    <w:rsid w:val="0038688A"/>
    <w:rsid w:val="00387556"/>
    <w:rsid w:val="0039110A"/>
    <w:rsid w:val="003A2A6D"/>
    <w:rsid w:val="003A500F"/>
    <w:rsid w:val="003B17A5"/>
    <w:rsid w:val="003B24AB"/>
    <w:rsid w:val="003B54B8"/>
    <w:rsid w:val="003C00B0"/>
    <w:rsid w:val="003C4149"/>
    <w:rsid w:val="003C5F51"/>
    <w:rsid w:val="003C6FA2"/>
    <w:rsid w:val="003D0EEF"/>
    <w:rsid w:val="003E0456"/>
    <w:rsid w:val="003F1F45"/>
    <w:rsid w:val="00400D4C"/>
    <w:rsid w:val="004013C4"/>
    <w:rsid w:val="004062FB"/>
    <w:rsid w:val="004141F5"/>
    <w:rsid w:val="00416E4D"/>
    <w:rsid w:val="00417630"/>
    <w:rsid w:val="004215BF"/>
    <w:rsid w:val="004277AA"/>
    <w:rsid w:val="00430ED0"/>
    <w:rsid w:val="004407B6"/>
    <w:rsid w:val="00446A05"/>
    <w:rsid w:val="00450BEE"/>
    <w:rsid w:val="0045360F"/>
    <w:rsid w:val="00460E67"/>
    <w:rsid w:val="0046294B"/>
    <w:rsid w:val="00463948"/>
    <w:rsid w:val="004679C5"/>
    <w:rsid w:val="00472789"/>
    <w:rsid w:val="004729F5"/>
    <w:rsid w:val="004838DC"/>
    <w:rsid w:val="00487B65"/>
    <w:rsid w:val="004A529A"/>
    <w:rsid w:val="004A53B9"/>
    <w:rsid w:val="004A6012"/>
    <w:rsid w:val="004A655D"/>
    <w:rsid w:val="004B35BC"/>
    <w:rsid w:val="004B48B0"/>
    <w:rsid w:val="004D2AA9"/>
    <w:rsid w:val="004D449B"/>
    <w:rsid w:val="004E764A"/>
    <w:rsid w:val="004F2495"/>
    <w:rsid w:val="00500EEB"/>
    <w:rsid w:val="005012BF"/>
    <w:rsid w:val="005024C9"/>
    <w:rsid w:val="00511D1D"/>
    <w:rsid w:val="00514660"/>
    <w:rsid w:val="005146C8"/>
    <w:rsid w:val="005247F8"/>
    <w:rsid w:val="005270DF"/>
    <w:rsid w:val="005337C6"/>
    <w:rsid w:val="00540E06"/>
    <w:rsid w:val="00541538"/>
    <w:rsid w:val="00541F56"/>
    <w:rsid w:val="00547A1D"/>
    <w:rsid w:val="00551A7F"/>
    <w:rsid w:val="005534B3"/>
    <w:rsid w:val="00556B52"/>
    <w:rsid w:val="0056146D"/>
    <w:rsid w:val="00562DAE"/>
    <w:rsid w:val="005644C2"/>
    <w:rsid w:val="00565304"/>
    <w:rsid w:val="00572FDF"/>
    <w:rsid w:val="00582A39"/>
    <w:rsid w:val="00587885"/>
    <w:rsid w:val="00587D0D"/>
    <w:rsid w:val="00587D79"/>
    <w:rsid w:val="005966F2"/>
    <w:rsid w:val="0059717B"/>
    <w:rsid w:val="0059748D"/>
    <w:rsid w:val="005A10D3"/>
    <w:rsid w:val="005A2E1E"/>
    <w:rsid w:val="005A6962"/>
    <w:rsid w:val="005B1398"/>
    <w:rsid w:val="005B2955"/>
    <w:rsid w:val="005B3B65"/>
    <w:rsid w:val="005C2176"/>
    <w:rsid w:val="005D01C1"/>
    <w:rsid w:val="005D119A"/>
    <w:rsid w:val="005D3F0A"/>
    <w:rsid w:val="005D467E"/>
    <w:rsid w:val="005D7638"/>
    <w:rsid w:val="005E5484"/>
    <w:rsid w:val="005E68A0"/>
    <w:rsid w:val="005F0EB5"/>
    <w:rsid w:val="005F2BDB"/>
    <w:rsid w:val="005F34F6"/>
    <w:rsid w:val="0060547E"/>
    <w:rsid w:val="006079B4"/>
    <w:rsid w:val="006157E2"/>
    <w:rsid w:val="006172D7"/>
    <w:rsid w:val="006203E9"/>
    <w:rsid w:val="00620A95"/>
    <w:rsid w:val="00623FBF"/>
    <w:rsid w:val="00624B7B"/>
    <w:rsid w:val="006272F3"/>
    <w:rsid w:val="00630328"/>
    <w:rsid w:val="006314DB"/>
    <w:rsid w:val="006327CD"/>
    <w:rsid w:val="00640E37"/>
    <w:rsid w:val="0065043C"/>
    <w:rsid w:val="00650D5A"/>
    <w:rsid w:val="006551E2"/>
    <w:rsid w:val="00657F20"/>
    <w:rsid w:val="00666996"/>
    <w:rsid w:val="0067336A"/>
    <w:rsid w:val="0067383D"/>
    <w:rsid w:val="00674682"/>
    <w:rsid w:val="00681EDD"/>
    <w:rsid w:val="00682D6E"/>
    <w:rsid w:val="00683252"/>
    <w:rsid w:val="00683355"/>
    <w:rsid w:val="0068485E"/>
    <w:rsid w:val="00685115"/>
    <w:rsid w:val="0068591E"/>
    <w:rsid w:val="006967C5"/>
    <w:rsid w:val="006A2421"/>
    <w:rsid w:val="006A4362"/>
    <w:rsid w:val="006B243C"/>
    <w:rsid w:val="006B5934"/>
    <w:rsid w:val="006B6EC3"/>
    <w:rsid w:val="006C1EA2"/>
    <w:rsid w:val="006C3AE0"/>
    <w:rsid w:val="006C3D6F"/>
    <w:rsid w:val="006C41D9"/>
    <w:rsid w:val="006C5B50"/>
    <w:rsid w:val="006C72D1"/>
    <w:rsid w:val="006D0DEB"/>
    <w:rsid w:val="006D59FE"/>
    <w:rsid w:val="006D7D8D"/>
    <w:rsid w:val="006E3245"/>
    <w:rsid w:val="006E4C53"/>
    <w:rsid w:val="006F2E82"/>
    <w:rsid w:val="006F3A04"/>
    <w:rsid w:val="007003EB"/>
    <w:rsid w:val="0070059F"/>
    <w:rsid w:val="00700B07"/>
    <w:rsid w:val="00702799"/>
    <w:rsid w:val="00702AEA"/>
    <w:rsid w:val="00703712"/>
    <w:rsid w:val="00707056"/>
    <w:rsid w:val="00707A05"/>
    <w:rsid w:val="00711CDC"/>
    <w:rsid w:val="00712C60"/>
    <w:rsid w:val="00717FD3"/>
    <w:rsid w:val="00723251"/>
    <w:rsid w:val="00723811"/>
    <w:rsid w:val="00724533"/>
    <w:rsid w:val="00726316"/>
    <w:rsid w:val="00735C77"/>
    <w:rsid w:val="00736BBE"/>
    <w:rsid w:val="007411E4"/>
    <w:rsid w:val="00742D62"/>
    <w:rsid w:val="007543B2"/>
    <w:rsid w:val="007551C9"/>
    <w:rsid w:val="007577D8"/>
    <w:rsid w:val="00765B0F"/>
    <w:rsid w:val="007673F1"/>
    <w:rsid w:val="0076750F"/>
    <w:rsid w:val="0078303E"/>
    <w:rsid w:val="00784680"/>
    <w:rsid w:val="00785DE4"/>
    <w:rsid w:val="0078654F"/>
    <w:rsid w:val="0078743F"/>
    <w:rsid w:val="007955EB"/>
    <w:rsid w:val="00795985"/>
    <w:rsid w:val="007A7451"/>
    <w:rsid w:val="007B37B6"/>
    <w:rsid w:val="007B538D"/>
    <w:rsid w:val="007C229C"/>
    <w:rsid w:val="007C3A19"/>
    <w:rsid w:val="007C7DC1"/>
    <w:rsid w:val="007D0C51"/>
    <w:rsid w:val="007E386B"/>
    <w:rsid w:val="007E793E"/>
    <w:rsid w:val="007F024B"/>
    <w:rsid w:val="007F0DA0"/>
    <w:rsid w:val="007F14F3"/>
    <w:rsid w:val="007F1E25"/>
    <w:rsid w:val="007F243F"/>
    <w:rsid w:val="007F67AA"/>
    <w:rsid w:val="00804DEB"/>
    <w:rsid w:val="008058CC"/>
    <w:rsid w:val="00811F07"/>
    <w:rsid w:val="00812738"/>
    <w:rsid w:val="00817181"/>
    <w:rsid w:val="00817F00"/>
    <w:rsid w:val="008370EA"/>
    <w:rsid w:val="00843947"/>
    <w:rsid w:val="00847E0A"/>
    <w:rsid w:val="008540E0"/>
    <w:rsid w:val="00862B16"/>
    <w:rsid w:val="00862B8C"/>
    <w:rsid w:val="00864D8A"/>
    <w:rsid w:val="00870900"/>
    <w:rsid w:val="00874282"/>
    <w:rsid w:val="00875A64"/>
    <w:rsid w:val="00877EFD"/>
    <w:rsid w:val="008912A3"/>
    <w:rsid w:val="00892A4E"/>
    <w:rsid w:val="008972F2"/>
    <w:rsid w:val="008A0F0B"/>
    <w:rsid w:val="008A2591"/>
    <w:rsid w:val="008C0E36"/>
    <w:rsid w:val="008C1A7E"/>
    <w:rsid w:val="008C5137"/>
    <w:rsid w:val="008C73D0"/>
    <w:rsid w:val="008D6EEB"/>
    <w:rsid w:val="008E4182"/>
    <w:rsid w:val="008E4A1F"/>
    <w:rsid w:val="008E54E8"/>
    <w:rsid w:val="008F164A"/>
    <w:rsid w:val="008F1CF0"/>
    <w:rsid w:val="008F2BAE"/>
    <w:rsid w:val="008F5A76"/>
    <w:rsid w:val="008F5FDE"/>
    <w:rsid w:val="00904EF6"/>
    <w:rsid w:val="00904F32"/>
    <w:rsid w:val="00906C3B"/>
    <w:rsid w:val="009104EC"/>
    <w:rsid w:val="00911A5F"/>
    <w:rsid w:val="00911F38"/>
    <w:rsid w:val="00920009"/>
    <w:rsid w:val="00931BCA"/>
    <w:rsid w:val="00936B1D"/>
    <w:rsid w:val="00967F78"/>
    <w:rsid w:val="00971DFC"/>
    <w:rsid w:val="00975F17"/>
    <w:rsid w:val="00976FF5"/>
    <w:rsid w:val="009837A5"/>
    <w:rsid w:val="00983C6D"/>
    <w:rsid w:val="00984C97"/>
    <w:rsid w:val="00986338"/>
    <w:rsid w:val="00992769"/>
    <w:rsid w:val="009943D4"/>
    <w:rsid w:val="009A1567"/>
    <w:rsid w:val="009A1E7A"/>
    <w:rsid w:val="009A466F"/>
    <w:rsid w:val="009B0C3F"/>
    <w:rsid w:val="009C2E25"/>
    <w:rsid w:val="009D042C"/>
    <w:rsid w:val="009D110B"/>
    <w:rsid w:val="009D2258"/>
    <w:rsid w:val="009D3158"/>
    <w:rsid w:val="009D6819"/>
    <w:rsid w:val="009E25F8"/>
    <w:rsid w:val="009E701D"/>
    <w:rsid w:val="009F0C00"/>
    <w:rsid w:val="009F25D1"/>
    <w:rsid w:val="00A049B4"/>
    <w:rsid w:val="00A075D3"/>
    <w:rsid w:val="00A07FC4"/>
    <w:rsid w:val="00A1213B"/>
    <w:rsid w:val="00A14D23"/>
    <w:rsid w:val="00A16238"/>
    <w:rsid w:val="00A16AD3"/>
    <w:rsid w:val="00A22D10"/>
    <w:rsid w:val="00A32AD9"/>
    <w:rsid w:val="00A41470"/>
    <w:rsid w:val="00A42C95"/>
    <w:rsid w:val="00A517C6"/>
    <w:rsid w:val="00A535FF"/>
    <w:rsid w:val="00A536A6"/>
    <w:rsid w:val="00A54D07"/>
    <w:rsid w:val="00A566DA"/>
    <w:rsid w:val="00A632B5"/>
    <w:rsid w:val="00A6415B"/>
    <w:rsid w:val="00A726A8"/>
    <w:rsid w:val="00A72CEE"/>
    <w:rsid w:val="00A825C6"/>
    <w:rsid w:val="00A83A62"/>
    <w:rsid w:val="00A90DA0"/>
    <w:rsid w:val="00A9352F"/>
    <w:rsid w:val="00A951C3"/>
    <w:rsid w:val="00AA266F"/>
    <w:rsid w:val="00AA26F3"/>
    <w:rsid w:val="00AA2CF9"/>
    <w:rsid w:val="00AA73B3"/>
    <w:rsid w:val="00AB562F"/>
    <w:rsid w:val="00AB5691"/>
    <w:rsid w:val="00AB765D"/>
    <w:rsid w:val="00AC3C5F"/>
    <w:rsid w:val="00AD173A"/>
    <w:rsid w:val="00AD424E"/>
    <w:rsid w:val="00AD44B7"/>
    <w:rsid w:val="00AD63FE"/>
    <w:rsid w:val="00AD6566"/>
    <w:rsid w:val="00AD7B33"/>
    <w:rsid w:val="00AE7B80"/>
    <w:rsid w:val="00AF5090"/>
    <w:rsid w:val="00B02A2E"/>
    <w:rsid w:val="00B043CB"/>
    <w:rsid w:val="00B10B14"/>
    <w:rsid w:val="00B13D7A"/>
    <w:rsid w:val="00B22A26"/>
    <w:rsid w:val="00B23312"/>
    <w:rsid w:val="00B24E2C"/>
    <w:rsid w:val="00B2508B"/>
    <w:rsid w:val="00B25387"/>
    <w:rsid w:val="00B30B60"/>
    <w:rsid w:val="00B340CE"/>
    <w:rsid w:val="00B364D3"/>
    <w:rsid w:val="00B453A5"/>
    <w:rsid w:val="00B50760"/>
    <w:rsid w:val="00B51D06"/>
    <w:rsid w:val="00B544B6"/>
    <w:rsid w:val="00B5680C"/>
    <w:rsid w:val="00B6260F"/>
    <w:rsid w:val="00B71B65"/>
    <w:rsid w:val="00B82967"/>
    <w:rsid w:val="00B83054"/>
    <w:rsid w:val="00B87EF0"/>
    <w:rsid w:val="00B915D3"/>
    <w:rsid w:val="00B92412"/>
    <w:rsid w:val="00BA3C66"/>
    <w:rsid w:val="00BB20EC"/>
    <w:rsid w:val="00BB2F07"/>
    <w:rsid w:val="00BB5304"/>
    <w:rsid w:val="00BB640F"/>
    <w:rsid w:val="00BB6506"/>
    <w:rsid w:val="00BD59FD"/>
    <w:rsid w:val="00BE22B3"/>
    <w:rsid w:val="00BE30D3"/>
    <w:rsid w:val="00BE759D"/>
    <w:rsid w:val="00BE78B5"/>
    <w:rsid w:val="00BF2984"/>
    <w:rsid w:val="00BF6E45"/>
    <w:rsid w:val="00C0777A"/>
    <w:rsid w:val="00C11965"/>
    <w:rsid w:val="00C1476E"/>
    <w:rsid w:val="00C2151F"/>
    <w:rsid w:val="00C2229D"/>
    <w:rsid w:val="00C27E6D"/>
    <w:rsid w:val="00C37DA4"/>
    <w:rsid w:val="00C37DB9"/>
    <w:rsid w:val="00C4039B"/>
    <w:rsid w:val="00C4086F"/>
    <w:rsid w:val="00C40E2A"/>
    <w:rsid w:val="00C43D1C"/>
    <w:rsid w:val="00C453F8"/>
    <w:rsid w:val="00C46627"/>
    <w:rsid w:val="00C51134"/>
    <w:rsid w:val="00C514E2"/>
    <w:rsid w:val="00C53D65"/>
    <w:rsid w:val="00C61507"/>
    <w:rsid w:val="00C62D79"/>
    <w:rsid w:val="00C669E0"/>
    <w:rsid w:val="00C80859"/>
    <w:rsid w:val="00C83817"/>
    <w:rsid w:val="00C91BFC"/>
    <w:rsid w:val="00C97B43"/>
    <w:rsid w:val="00CA2FF8"/>
    <w:rsid w:val="00CB4891"/>
    <w:rsid w:val="00CC0B6E"/>
    <w:rsid w:val="00CC190B"/>
    <w:rsid w:val="00CC55E3"/>
    <w:rsid w:val="00CD11F1"/>
    <w:rsid w:val="00CD4F94"/>
    <w:rsid w:val="00CE2FD3"/>
    <w:rsid w:val="00D02563"/>
    <w:rsid w:val="00D03594"/>
    <w:rsid w:val="00D0497C"/>
    <w:rsid w:val="00D14C09"/>
    <w:rsid w:val="00D15311"/>
    <w:rsid w:val="00D20416"/>
    <w:rsid w:val="00D20D32"/>
    <w:rsid w:val="00D320DF"/>
    <w:rsid w:val="00D33A3D"/>
    <w:rsid w:val="00D37714"/>
    <w:rsid w:val="00D53D88"/>
    <w:rsid w:val="00D57FD1"/>
    <w:rsid w:val="00D61714"/>
    <w:rsid w:val="00D61DED"/>
    <w:rsid w:val="00D62493"/>
    <w:rsid w:val="00D71EAA"/>
    <w:rsid w:val="00D824CA"/>
    <w:rsid w:val="00D8611A"/>
    <w:rsid w:val="00D86D09"/>
    <w:rsid w:val="00D91004"/>
    <w:rsid w:val="00D96765"/>
    <w:rsid w:val="00D97376"/>
    <w:rsid w:val="00DA022A"/>
    <w:rsid w:val="00DA4E0D"/>
    <w:rsid w:val="00DB2E63"/>
    <w:rsid w:val="00DB34EA"/>
    <w:rsid w:val="00DB4479"/>
    <w:rsid w:val="00DB6DBA"/>
    <w:rsid w:val="00DC171B"/>
    <w:rsid w:val="00DC2D8C"/>
    <w:rsid w:val="00DD27B0"/>
    <w:rsid w:val="00DD2FB7"/>
    <w:rsid w:val="00DD4C0C"/>
    <w:rsid w:val="00DD684B"/>
    <w:rsid w:val="00DD77C0"/>
    <w:rsid w:val="00DE0733"/>
    <w:rsid w:val="00DE78FA"/>
    <w:rsid w:val="00DF5108"/>
    <w:rsid w:val="00E01388"/>
    <w:rsid w:val="00E035BA"/>
    <w:rsid w:val="00E10A21"/>
    <w:rsid w:val="00E11C06"/>
    <w:rsid w:val="00E16CAF"/>
    <w:rsid w:val="00E21684"/>
    <w:rsid w:val="00E2582E"/>
    <w:rsid w:val="00E267C4"/>
    <w:rsid w:val="00E30FBB"/>
    <w:rsid w:val="00E3453F"/>
    <w:rsid w:val="00E35D83"/>
    <w:rsid w:val="00E373CE"/>
    <w:rsid w:val="00E403AB"/>
    <w:rsid w:val="00E42F9C"/>
    <w:rsid w:val="00E43D88"/>
    <w:rsid w:val="00E44A48"/>
    <w:rsid w:val="00E5200A"/>
    <w:rsid w:val="00E61028"/>
    <w:rsid w:val="00E61987"/>
    <w:rsid w:val="00E66C12"/>
    <w:rsid w:val="00E73AE7"/>
    <w:rsid w:val="00E7528C"/>
    <w:rsid w:val="00E75E3C"/>
    <w:rsid w:val="00E76367"/>
    <w:rsid w:val="00E766D4"/>
    <w:rsid w:val="00E81436"/>
    <w:rsid w:val="00E8235B"/>
    <w:rsid w:val="00E847C6"/>
    <w:rsid w:val="00E864A5"/>
    <w:rsid w:val="00E904A1"/>
    <w:rsid w:val="00EA3B74"/>
    <w:rsid w:val="00EA478E"/>
    <w:rsid w:val="00EA6C8A"/>
    <w:rsid w:val="00EB1DDA"/>
    <w:rsid w:val="00EC77FD"/>
    <w:rsid w:val="00EE3936"/>
    <w:rsid w:val="00EE3F4F"/>
    <w:rsid w:val="00EF37FD"/>
    <w:rsid w:val="00EF4A12"/>
    <w:rsid w:val="00EF64A1"/>
    <w:rsid w:val="00EF7730"/>
    <w:rsid w:val="00F01DC6"/>
    <w:rsid w:val="00F0550E"/>
    <w:rsid w:val="00F1208E"/>
    <w:rsid w:val="00F12F7A"/>
    <w:rsid w:val="00F14AA0"/>
    <w:rsid w:val="00F2056A"/>
    <w:rsid w:val="00F23F85"/>
    <w:rsid w:val="00F340D8"/>
    <w:rsid w:val="00F34ED6"/>
    <w:rsid w:val="00F36CCF"/>
    <w:rsid w:val="00F405C7"/>
    <w:rsid w:val="00F40943"/>
    <w:rsid w:val="00F446D0"/>
    <w:rsid w:val="00F54EDA"/>
    <w:rsid w:val="00F560BC"/>
    <w:rsid w:val="00F56A5D"/>
    <w:rsid w:val="00F57796"/>
    <w:rsid w:val="00F57F47"/>
    <w:rsid w:val="00F60323"/>
    <w:rsid w:val="00F653F7"/>
    <w:rsid w:val="00F66CD6"/>
    <w:rsid w:val="00F70C91"/>
    <w:rsid w:val="00F75A40"/>
    <w:rsid w:val="00F75B12"/>
    <w:rsid w:val="00F864E2"/>
    <w:rsid w:val="00F90E55"/>
    <w:rsid w:val="00F91B0D"/>
    <w:rsid w:val="00F93741"/>
    <w:rsid w:val="00FA1E55"/>
    <w:rsid w:val="00FA2B4F"/>
    <w:rsid w:val="00FA2CF7"/>
    <w:rsid w:val="00FA79A3"/>
    <w:rsid w:val="00FA7F0F"/>
    <w:rsid w:val="00FB019F"/>
    <w:rsid w:val="00FB6FB7"/>
    <w:rsid w:val="00FB736C"/>
    <w:rsid w:val="00FC0E20"/>
    <w:rsid w:val="00FC374E"/>
    <w:rsid w:val="00FC3FF2"/>
    <w:rsid w:val="00FD099E"/>
    <w:rsid w:val="00FD36F3"/>
    <w:rsid w:val="00FD38E5"/>
    <w:rsid w:val="00FD5ADB"/>
    <w:rsid w:val="00FD60C6"/>
    <w:rsid w:val="00FE1CD6"/>
    <w:rsid w:val="00FE22A6"/>
    <w:rsid w:val="00FE2C5E"/>
    <w:rsid w:val="00FF400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FA95"/>
  <w15:docId w15:val="{8B5BDAA2-E8AF-4A12-A67B-0F8F9A0D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title"/>
    <w:basedOn w:val="Normal"/>
    <w:link w:val="ListParagraphChar"/>
    <w:uiPriority w:val="34"/>
    <w:qFormat/>
    <w:rsid w:val="00254AAC"/>
    <w:pPr>
      <w:ind w:left="720"/>
      <w:contextualSpacing/>
    </w:pPr>
  </w:style>
  <w:style w:type="character" w:customStyle="1" w:styleId="ListParagraphChar">
    <w:name w:val="List Paragraph Char"/>
    <w:aliases w:val="Subtitle Char"/>
    <w:link w:val="ListParagraph"/>
    <w:uiPriority w:val="34"/>
    <w:locked/>
    <w:rsid w:val="00AA2CF9"/>
  </w:style>
  <w:style w:type="character" w:customStyle="1" w:styleId="highlight">
    <w:name w:val="highlight"/>
    <w:basedOn w:val="DefaultParagraphFont"/>
    <w:rsid w:val="007C229C"/>
  </w:style>
  <w:style w:type="paragraph" w:styleId="NormalWeb">
    <w:name w:val="Normal (Web)"/>
    <w:basedOn w:val="Normal"/>
    <w:uiPriority w:val="99"/>
    <w:unhideWhenUsed/>
    <w:rsid w:val="006D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A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062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6119-CF2E-44E8-BC39-F1717E44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Nawchaa</dc:creator>
  <cp:keywords/>
  <dc:description/>
  <cp:lastModifiedBy>BATTSOOJ</cp:lastModifiedBy>
  <cp:revision>212</cp:revision>
  <cp:lastPrinted>2017-04-11T06:48:00Z</cp:lastPrinted>
  <dcterms:created xsi:type="dcterms:W3CDTF">2015-05-28T20:30:00Z</dcterms:created>
  <dcterms:modified xsi:type="dcterms:W3CDTF">2017-04-28T10:47:00Z</dcterms:modified>
</cp:coreProperties>
</file>