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67D099" w14:textId="77777777" w:rsidR="008E5AF1" w:rsidRPr="008E5AF1" w:rsidRDefault="008E5AF1" w:rsidP="008E5AF1">
      <w:pPr>
        <w:shd w:val="clear" w:color="auto" w:fill="FFFFFF"/>
        <w:spacing w:line="680" w:lineRule="atLeast"/>
        <w:textAlignment w:val="baseline"/>
        <w:outlineLvl w:val="0"/>
        <w:rPr>
          <w:rFonts w:ascii="inherit" w:eastAsia="Times New Roman" w:hAnsi="inherit" w:cs="Open Sans"/>
          <w:b/>
          <w:bCs/>
          <w:color w:val="000000"/>
          <w:kern w:val="36"/>
          <w:sz w:val="51"/>
          <w:szCs w:val="51"/>
          <w:lang w:eastAsia="de-AT"/>
          <w14:ligatures w14:val="none"/>
        </w:rPr>
      </w:pPr>
      <w:r w:rsidRPr="008E5AF1">
        <w:rPr>
          <w:rFonts w:ascii="inherit" w:eastAsia="Times New Roman" w:hAnsi="inherit" w:cs="Open Sans"/>
          <w:b/>
          <w:bCs/>
          <w:color w:val="000000"/>
          <w:kern w:val="36"/>
          <w:sz w:val="51"/>
          <w:szCs w:val="51"/>
          <w:lang w:eastAsia="de-AT"/>
          <w14:ligatures w14:val="none"/>
        </w:rPr>
        <w:t>Straffung der Geldpolitik und der grüne Wandel</w:t>
      </w:r>
    </w:p>
    <w:p w14:paraId="0FBA3495" w14:textId="063B28D2" w:rsidR="008E5AF1" w:rsidRPr="008E5AF1" w:rsidRDefault="008E5AF1" w:rsidP="008E5AF1">
      <w:pPr>
        <w:spacing w:after="300" w:line="582" w:lineRule="atLeast"/>
        <w:textAlignment w:val="baseline"/>
        <w:outlineLvl w:val="1"/>
        <w:rPr>
          <w:rFonts w:ascii="inherit" w:eastAsia="Times New Roman" w:hAnsi="inherit" w:cs="Open Sans"/>
          <w:b/>
          <w:bCs/>
          <w:color w:val="003299"/>
          <w:kern w:val="0"/>
          <w:sz w:val="42"/>
          <w:szCs w:val="42"/>
          <w:lang w:eastAsia="de-AT"/>
          <w14:ligatures w14:val="none"/>
        </w:rPr>
      </w:pPr>
      <w:r w:rsidRPr="008E5AF1">
        <w:rPr>
          <w:rFonts w:ascii="inherit" w:eastAsia="Times New Roman" w:hAnsi="inherit" w:cs="Open Sans"/>
          <w:b/>
          <w:bCs/>
          <w:color w:val="003299"/>
          <w:kern w:val="0"/>
          <w:sz w:val="42"/>
          <w:szCs w:val="42"/>
          <w:lang w:eastAsia="de-AT"/>
          <w14:ligatures w14:val="none"/>
        </w:rPr>
        <w:t xml:space="preserve">Rede von </w:t>
      </w:r>
      <w:hyperlink r:id="rId5" w:history="1">
        <w:r w:rsidRPr="008E5AF1">
          <w:rPr>
            <w:rStyle w:val="Hyperlink"/>
            <w:rFonts w:ascii="inherit" w:eastAsia="Times New Roman" w:hAnsi="inherit" w:cs="Open Sans"/>
            <w:b/>
            <w:bCs/>
            <w:kern w:val="0"/>
            <w:sz w:val="42"/>
            <w:szCs w:val="42"/>
            <w:lang w:eastAsia="de-AT"/>
            <w14:ligatures w14:val="none"/>
          </w:rPr>
          <w:t>Isabel Schnabel</w:t>
        </w:r>
      </w:hyperlink>
      <w:r w:rsidRPr="008E5AF1">
        <w:rPr>
          <w:rFonts w:ascii="inherit" w:eastAsia="Times New Roman" w:hAnsi="inherit" w:cs="Open Sans"/>
          <w:b/>
          <w:bCs/>
          <w:color w:val="003299"/>
          <w:kern w:val="0"/>
          <w:sz w:val="42"/>
          <w:szCs w:val="42"/>
          <w:lang w:eastAsia="de-AT"/>
          <w14:ligatures w14:val="none"/>
        </w:rPr>
        <w:t xml:space="preserve">, Mitglied des Direktoriums der EZB, beim International Symposium on Central Bank Independence, </w:t>
      </w:r>
      <w:proofErr w:type="spellStart"/>
      <w:r w:rsidRPr="008E5AF1">
        <w:rPr>
          <w:rFonts w:ascii="inherit" w:eastAsia="Times New Roman" w:hAnsi="inherit" w:cs="Open Sans"/>
          <w:b/>
          <w:bCs/>
          <w:color w:val="003299"/>
          <w:kern w:val="0"/>
          <w:sz w:val="42"/>
          <w:szCs w:val="42"/>
          <w:lang w:eastAsia="de-AT"/>
          <w14:ligatures w14:val="none"/>
        </w:rPr>
        <w:t>Sveriges</w:t>
      </w:r>
      <w:proofErr w:type="spellEnd"/>
      <w:r w:rsidRPr="008E5AF1">
        <w:rPr>
          <w:rFonts w:ascii="inherit" w:eastAsia="Times New Roman" w:hAnsi="inherit" w:cs="Open Sans"/>
          <w:b/>
          <w:bCs/>
          <w:color w:val="003299"/>
          <w:kern w:val="0"/>
          <w:sz w:val="42"/>
          <w:szCs w:val="42"/>
          <w:lang w:eastAsia="de-AT"/>
          <w14:ligatures w14:val="none"/>
        </w:rPr>
        <w:t xml:space="preserve"> </w:t>
      </w:r>
      <w:proofErr w:type="spellStart"/>
      <w:r w:rsidRPr="008E5AF1">
        <w:rPr>
          <w:rFonts w:ascii="inherit" w:eastAsia="Times New Roman" w:hAnsi="inherit" w:cs="Open Sans"/>
          <w:b/>
          <w:bCs/>
          <w:color w:val="003299"/>
          <w:kern w:val="0"/>
          <w:sz w:val="42"/>
          <w:szCs w:val="42"/>
          <w:lang w:eastAsia="de-AT"/>
          <w14:ligatures w14:val="none"/>
        </w:rPr>
        <w:t>Riksbank</w:t>
      </w:r>
      <w:proofErr w:type="spellEnd"/>
      <w:r w:rsidRPr="008E5AF1">
        <w:rPr>
          <w:rFonts w:ascii="inherit" w:eastAsia="Times New Roman" w:hAnsi="inherit" w:cs="Open Sans"/>
          <w:b/>
          <w:bCs/>
          <w:color w:val="003299"/>
          <w:kern w:val="0"/>
          <w:sz w:val="42"/>
          <w:szCs w:val="42"/>
          <w:lang w:eastAsia="de-AT"/>
          <w14:ligatures w14:val="none"/>
        </w:rPr>
        <w:t>, Stockholm</w:t>
      </w:r>
    </w:p>
    <w:p w14:paraId="757FF80A" w14:textId="77777777" w:rsidR="008E5AF1" w:rsidRPr="008E5AF1" w:rsidRDefault="008E5AF1" w:rsidP="008E5AF1">
      <w:pPr>
        <w:spacing w:after="450" w:line="240" w:lineRule="auto"/>
        <w:textAlignment w:val="baseline"/>
        <w:rPr>
          <w:rFonts w:ascii="Open Sans" w:eastAsia="Times New Roman" w:hAnsi="Open Sans" w:cs="Open Sans"/>
          <w:i/>
          <w:iCs/>
          <w:color w:val="555555"/>
          <w:kern w:val="0"/>
          <w:sz w:val="30"/>
          <w:szCs w:val="30"/>
          <w:lang w:eastAsia="de-AT"/>
          <w14:ligatures w14:val="none"/>
        </w:rPr>
      </w:pPr>
      <w:r w:rsidRPr="008E5AF1">
        <w:rPr>
          <w:rFonts w:ascii="Open Sans" w:eastAsia="Times New Roman" w:hAnsi="Open Sans" w:cs="Open Sans"/>
          <w:i/>
          <w:iCs/>
          <w:color w:val="555555"/>
          <w:kern w:val="0"/>
          <w:sz w:val="30"/>
          <w:szCs w:val="30"/>
          <w:lang w:eastAsia="de-AT"/>
          <w14:ligatures w14:val="none"/>
        </w:rPr>
        <w:t>Stockholm, 10. Januar 2023</w:t>
      </w:r>
    </w:p>
    <w:p w14:paraId="495B9583" w14:textId="77777777" w:rsidR="008E5AF1" w:rsidRPr="008E5AF1" w:rsidRDefault="008E5AF1" w:rsidP="008E5AF1">
      <w:pPr>
        <w:spacing w:after="0" w:line="240" w:lineRule="auto"/>
        <w:textAlignment w:val="baseline"/>
        <w:rPr>
          <w:rFonts w:ascii="Open Sans" w:eastAsia="Times New Roman" w:hAnsi="Open Sans" w:cs="Open Sans"/>
          <w:color w:val="555555"/>
          <w:kern w:val="0"/>
          <w:sz w:val="30"/>
          <w:szCs w:val="30"/>
          <w:lang w:eastAsia="de-AT"/>
          <w14:ligatures w14:val="none"/>
        </w:rPr>
      </w:pPr>
      <w:r w:rsidRPr="008E5AF1">
        <w:rPr>
          <w:rFonts w:ascii="Open Sans" w:eastAsia="Times New Roman" w:hAnsi="Open Sans" w:cs="Open Sans"/>
          <w:color w:val="555555"/>
          <w:kern w:val="0"/>
          <w:sz w:val="30"/>
          <w:szCs w:val="30"/>
          <w:lang w:eastAsia="de-AT"/>
          <w14:ligatures w14:val="none"/>
        </w:rPr>
        <w:t>Der grüne Wandel wird unsere Gesellschaften grundlegend verändern.</w:t>
      </w:r>
      <w:r w:rsidRPr="008E5AF1">
        <w:rPr>
          <w:rFonts w:ascii="Open Sans" w:eastAsia="Times New Roman" w:hAnsi="Open Sans" w:cs="Open Sans"/>
          <w:color w:val="555555"/>
          <w:kern w:val="0"/>
          <w:sz w:val="21"/>
          <w:szCs w:val="21"/>
          <w:bdr w:val="none" w:sz="0" w:space="0" w:color="auto" w:frame="1"/>
          <w:vertAlign w:val="superscript"/>
          <w:lang w:eastAsia="de-AT"/>
          <w14:ligatures w14:val="none"/>
        </w:rPr>
        <w:t>[</w:t>
      </w:r>
      <w:hyperlink r:id="rId6" w:anchor="footnote.1" w:history="1">
        <w:r w:rsidRPr="008E5AF1">
          <w:rPr>
            <w:rFonts w:ascii="Open Sans" w:eastAsia="Times New Roman" w:hAnsi="Open Sans" w:cs="Open Sans"/>
            <w:color w:val="2B7AB6"/>
            <w:kern w:val="0"/>
            <w:sz w:val="21"/>
            <w:szCs w:val="21"/>
            <w:bdr w:val="none" w:sz="0" w:space="0" w:color="auto" w:frame="1"/>
            <w:lang w:eastAsia="de-AT"/>
            <w14:ligatures w14:val="none"/>
          </w:rPr>
          <w:t>1</w:t>
        </w:r>
      </w:hyperlink>
      <w:r w:rsidRPr="008E5AF1">
        <w:rPr>
          <w:rFonts w:ascii="Open Sans" w:eastAsia="Times New Roman" w:hAnsi="Open Sans" w:cs="Open Sans"/>
          <w:color w:val="555555"/>
          <w:kern w:val="0"/>
          <w:sz w:val="21"/>
          <w:szCs w:val="21"/>
          <w:bdr w:val="none" w:sz="0" w:space="0" w:color="auto" w:frame="1"/>
          <w:vertAlign w:val="superscript"/>
          <w:lang w:eastAsia="de-AT"/>
          <w14:ligatures w14:val="none"/>
        </w:rPr>
        <w:t>]</w:t>
      </w:r>
      <w:r w:rsidRPr="008E5AF1">
        <w:rPr>
          <w:rFonts w:ascii="Open Sans" w:eastAsia="Times New Roman" w:hAnsi="Open Sans" w:cs="Open Sans"/>
          <w:color w:val="555555"/>
          <w:kern w:val="0"/>
          <w:sz w:val="30"/>
          <w:szCs w:val="30"/>
          <w:lang w:eastAsia="de-AT"/>
          <w14:ligatures w14:val="none"/>
        </w:rPr>
        <w:t>Der Schutz unseres Planeten erfordert beispiellose Großinvestitionen in technische Innovationen und erneuerbare Energien, um unsere Volkswirtschaften auf den Weg zu Netto-Treibhausgasemissionen von Null zu bringen.</w:t>
      </w:r>
    </w:p>
    <w:p w14:paraId="5983A26C" w14:textId="77777777" w:rsidR="008E5AF1" w:rsidRPr="008E5AF1" w:rsidRDefault="008E5AF1" w:rsidP="008E5AF1">
      <w:pPr>
        <w:spacing w:after="0" w:line="240" w:lineRule="auto"/>
        <w:textAlignment w:val="baseline"/>
        <w:rPr>
          <w:rFonts w:ascii="Open Sans" w:eastAsia="Times New Roman" w:hAnsi="Open Sans" w:cs="Open Sans"/>
          <w:color w:val="555555"/>
          <w:kern w:val="0"/>
          <w:sz w:val="30"/>
          <w:szCs w:val="30"/>
          <w:lang w:eastAsia="de-AT"/>
          <w14:ligatures w14:val="none"/>
        </w:rPr>
      </w:pPr>
      <w:r w:rsidRPr="008E5AF1">
        <w:rPr>
          <w:rFonts w:ascii="Open Sans" w:eastAsia="Times New Roman" w:hAnsi="Open Sans" w:cs="Open Sans"/>
          <w:color w:val="555555"/>
          <w:kern w:val="0"/>
          <w:sz w:val="30"/>
          <w:szCs w:val="30"/>
          <w:lang w:eastAsia="de-AT"/>
          <w14:ligatures w14:val="none"/>
        </w:rPr>
        <w:t xml:space="preserve">Wie unsere Erfahrung der letzten zwei Jahrzehnte zeigt, sind </w:t>
      </w:r>
      <w:proofErr w:type="gramStart"/>
      <w:r w:rsidRPr="008E5AF1">
        <w:rPr>
          <w:rFonts w:ascii="Open Sans" w:eastAsia="Times New Roman" w:hAnsi="Open Sans" w:cs="Open Sans"/>
          <w:color w:val="555555"/>
          <w:kern w:val="0"/>
          <w:sz w:val="30"/>
          <w:szCs w:val="30"/>
          <w:lang w:eastAsia="de-AT"/>
          <w14:ligatures w14:val="none"/>
        </w:rPr>
        <w:t>die relativ</w:t>
      </w:r>
      <w:proofErr w:type="gramEnd"/>
      <w:r w:rsidRPr="008E5AF1">
        <w:rPr>
          <w:rFonts w:ascii="Open Sans" w:eastAsia="Times New Roman" w:hAnsi="Open Sans" w:cs="Open Sans"/>
          <w:color w:val="555555"/>
          <w:kern w:val="0"/>
          <w:sz w:val="30"/>
          <w:szCs w:val="30"/>
          <w:lang w:eastAsia="de-AT"/>
          <w14:ligatures w14:val="none"/>
        </w:rPr>
        <w:t xml:space="preserve"> hohen Vorlaufkosten, die bei diesen kapitalintensiven Ausgaben anfallen, besonders anfällig für Änderungen der Kreditkosten. Niedrige und sinkende Zinsen haben messbar zum Rückgang der Stromgestehungskosten (LCOE) erneuerbarer Energien beigetragen.</w:t>
      </w:r>
      <w:r w:rsidRPr="008E5AF1">
        <w:rPr>
          <w:rFonts w:ascii="Open Sans" w:eastAsia="Times New Roman" w:hAnsi="Open Sans" w:cs="Open Sans"/>
          <w:color w:val="555555"/>
          <w:kern w:val="0"/>
          <w:sz w:val="21"/>
          <w:szCs w:val="21"/>
          <w:bdr w:val="none" w:sz="0" w:space="0" w:color="auto" w:frame="1"/>
          <w:vertAlign w:val="superscript"/>
          <w:lang w:eastAsia="de-AT"/>
          <w14:ligatures w14:val="none"/>
        </w:rPr>
        <w:t>[</w:t>
      </w:r>
      <w:hyperlink r:id="rId7" w:anchor="footnote.2" w:history="1">
        <w:r w:rsidRPr="008E5AF1">
          <w:rPr>
            <w:rFonts w:ascii="Open Sans" w:eastAsia="Times New Roman" w:hAnsi="Open Sans" w:cs="Open Sans"/>
            <w:color w:val="2B7AB6"/>
            <w:kern w:val="0"/>
            <w:sz w:val="21"/>
            <w:szCs w:val="21"/>
            <w:bdr w:val="none" w:sz="0" w:space="0" w:color="auto" w:frame="1"/>
            <w:lang w:eastAsia="de-AT"/>
            <w14:ligatures w14:val="none"/>
          </w:rPr>
          <w:t>2</w:t>
        </w:r>
      </w:hyperlink>
      <w:r w:rsidRPr="008E5AF1">
        <w:rPr>
          <w:rFonts w:ascii="Open Sans" w:eastAsia="Times New Roman" w:hAnsi="Open Sans" w:cs="Open Sans"/>
          <w:color w:val="555555"/>
          <w:kern w:val="0"/>
          <w:sz w:val="21"/>
          <w:szCs w:val="21"/>
          <w:bdr w:val="none" w:sz="0" w:space="0" w:color="auto" w:frame="1"/>
          <w:vertAlign w:val="superscript"/>
          <w:lang w:eastAsia="de-AT"/>
          <w14:ligatures w14:val="none"/>
        </w:rPr>
        <w:t>]</w:t>
      </w:r>
      <w:r w:rsidRPr="008E5AF1">
        <w:rPr>
          <w:rFonts w:ascii="Open Sans" w:eastAsia="Times New Roman" w:hAnsi="Open Sans" w:cs="Open Sans"/>
          <w:color w:val="555555"/>
          <w:kern w:val="0"/>
          <w:sz w:val="30"/>
          <w:szCs w:val="30"/>
          <w:lang w:eastAsia="de-AT"/>
          <w14:ligatures w14:val="none"/>
        </w:rPr>
        <w:t>Dadurch sind die Kosten für Strom aus erneuerbaren Quellen mittlerweile mit denen konventioneller Kraftwerke vergleichbar oder sogar niedriger.</w:t>
      </w:r>
      <w:r w:rsidRPr="008E5AF1">
        <w:rPr>
          <w:rFonts w:ascii="Open Sans" w:eastAsia="Times New Roman" w:hAnsi="Open Sans" w:cs="Open Sans"/>
          <w:color w:val="555555"/>
          <w:kern w:val="0"/>
          <w:sz w:val="21"/>
          <w:szCs w:val="21"/>
          <w:bdr w:val="none" w:sz="0" w:space="0" w:color="auto" w:frame="1"/>
          <w:vertAlign w:val="superscript"/>
          <w:lang w:eastAsia="de-AT"/>
          <w14:ligatures w14:val="none"/>
        </w:rPr>
        <w:t>[</w:t>
      </w:r>
      <w:hyperlink r:id="rId8" w:anchor="footnote.3" w:history="1">
        <w:r w:rsidRPr="008E5AF1">
          <w:rPr>
            <w:rFonts w:ascii="Open Sans" w:eastAsia="Times New Roman" w:hAnsi="Open Sans" w:cs="Open Sans"/>
            <w:color w:val="2B7AB6"/>
            <w:kern w:val="0"/>
            <w:sz w:val="21"/>
            <w:szCs w:val="21"/>
            <w:bdr w:val="none" w:sz="0" w:space="0" w:color="auto" w:frame="1"/>
            <w:lang w:eastAsia="de-AT"/>
            <w14:ligatures w14:val="none"/>
          </w:rPr>
          <w:t>3</w:t>
        </w:r>
      </w:hyperlink>
      <w:r w:rsidRPr="008E5AF1">
        <w:rPr>
          <w:rFonts w:ascii="Open Sans" w:eastAsia="Times New Roman" w:hAnsi="Open Sans" w:cs="Open Sans"/>
          <w:color w:val="555555"/>
          <w:kern w:val="0"/>
          <w:sz w:val="21"/>
          <w:szCs w:val="21"/>
          <w:bdr w:val="none" w:sz="0" w:space="0" w:color="auto" w:frame="1"/>
          <w:vertAlign w:val="superscript"/>
          <w:lang w:eastAsia="de-AT"/>
          <w14:ligatures w14:val="none"/>
        </w:rPr>
        <w:t>]</w:t>
      </w:r>
    </w:p>
    <w:p w14:paraId="29FAEF4A" w14:textId="77777777" w:rsidR="008E5AF1" w:rsidRPr="008E5AF1" w:rsidRDefault="008E5AF1" w:rsidP="008E5AF1">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8E5AF1">
        <w:rPr>
          <w:rFonts w:ascii="Open Sans" w:eastAsia="Times New Roman" w:hAnsi="Open Sans" w:cs="Open Sans"/>
          <w:color w:val="555555"/>
          <w:kern w:val="0"/>
          <w:sz w:val="30"/>
          <w:szCs w:val="30"/>
          <w:lang w:eastAsia="de-AT"/>
          <w14:ligatures w14:val="none"/>
        </w:rPr>
        <w:t>Diese Entwicklungen drohen nun durch den deutlichen Anstieg der globalen Zinssätze im vergangenen Jahr umzukehren. Da Kraftwerke, die auf fossilen Brennstoffen basieren, vergleichsweise niedrige Vorlaufkosten haben, kann ein anhaltender Anstieg der Kapitalkosten die Bemühungen um eine rasche Dekarbonisierung unserer Volkswirtschaften behindern.</w:t>
      </w:r>
    </w:p>
    <w:p w14:paraId="1ABAAC7F" w14:textId="77777777" w:rsidR="008E5AF1" w:rsidRPr="008E5AF1" w:rsidRDefault="008E5AF1" w:rsidP="008E5AF1">
      <w:pPr>
        <w:spacing w:after="0" w:line="240" w:lineRule="auto"/>
        <w:textAlignment w:val="baseline"/>
        <w:rPr>
          <w:rFonts w:ascii="Open Sans" w:eastAsia="Times New Roman" w:hAnsi="Open Sans" w:cs="Open Sans"/>
          <w:color w:val="555555"/>
          <w:kern w:val="0"/>
          <w:sz w:val="30"/>
          <w:szCs w:val="30"/>
          <w:lang w:eastAsia="de-AT"/>
          <w14:ligatures w14:val="none"/>
        </w:rPr>
      </w:pPr>
      <w:r w:rsidRPr="008E5AF1">
        <w:rPr>
          <w:rFonts w:ascii="Open Sans" w:eastAsia="Times New Roman" w:hAnsi="Open Sans" w:cs="Open Sans"/>
          <w:color w:val="555555"/>
          <w:kern w:val="0"/>
          <w:sz w:val="30"/>
          <w:szCs w:val="30"/>
          <w:lang w:eastAsia="de-AT"/>
          <w14:ligatures w14:val="none"/>
        </w:rPr>
        <w:lastRenderedPageBreak/>
        <w:t>Vereinfacht gesagt: Erneuerbare Energien sind bei niedrigen Zinsen wettbewerbsfähiger.</w:t>
      </w:r>
      <w:r w:rsidRPr="008E5AF1">
        <w:rPr>
          <w:rFonts w:ascii="Open Sans" w:eastAsia="Times New Roman" w:hAnsi="Open Sans" w:cs="Open Sans"/>
          <w:color w:val="555555"/>
          <w:kern w:val="0"/>
          <w:sz w:val="21"/>
          <w:szCs w:val="21"/>
          <w:bdr w:val="none" w:sz="0" w:space="0" w:color="auto" w:frame="1"/>
          <w:vertAlign w:val="superscript"/>
          <w:lang w:eastAsia="de-AT"/>
          <w14:ligatures w14:val="none"/>
        </w:rPr>
        <w:t>[</w:t>
      </w:r>
      <w:hyperlink r:id="rId9" w:anchor="footnote.4" w:history="1">
        <w:r w:rsidRPr="008E5AF1">
          <w:rPr>
            <w:rFonts w:ascii="Open Sans" w:eastAsia="Times New Roman" w:hAnsi="Open Sans" w:cs="Open Sans"/>
            <w:color w:val="2B7AB6"/>
            <w:kern w:val="0"/>
            <w:sz w:val="21"/>
            <w:szCs w:val="21"/>
            <w:bdr w:val="none" w:sz="0" w:space="0" w:color="auto" w:frame="1"/>
            <w:lang w:eastAsia="de-AT"/>
            <w14:ligatures w14:val="none"/>
          </w:rPr>
          <w:t>4</w:t>
        </w:r>
      </w:hyperlink>
      <w:r w:rsidRPr="008E5AF1">
        <w:rPr>
          <w:rFonts w:ascii="Open Sans" w:eastAsia="Times New Roman" w:hAnsi="Open Sans" w:cs="Open Sans"/>
          <w:color w:val="555555"/>
          <w:kern w:val="0"/>
          <w:sz w:val="21"/>
          <w:szCs w:val="21"/>
          <w:bdr w:val="none" w:sz="0" w:space="0" w:color="auto" w:frame="1"/>
          <w:vertAlign w:val="superscript"/>
          <w:lang w:eastAsia="de-AT"/>
          <w14:ligatures w14:val="none"/>
        </w:rPr>
        <w:t>]</w:t>
      </w:r>
      <w:r w:rsidRPr="008E5AF1">
        <w:rPr>
          <w:rFonts w:ascii="Open Sans" w:eastAsia="Times New Roman" w:hAnsi="Open Sans" w:cs="Open Sans"/>
          <w:color w:val="555555"/>
          <w:kern w:val="0"/>
          <w:sz w:val="30"/>
          <w:szCs w:val="30"/>
          <w:lang w:eastAsia="de-AT"/>
          <w14:ligatures w14:val="none"/>
        </w:rPr>
        <w:t>Während Simulationen darauf hindeuten, dass sich die Stromgestehungskosten eines Gaskraftwerks bei einer Verdoppelung der Abzinsungssätze nur geringfügig ändern würden, könnten die Stromgestehungskosten von Offshore-Windkraftanlagen um fast 45 % steigen (Folie 2).</w:t>
      </w:r>
      <w:r w:rsidRPr="008E5AF1">
        <w:rPr>
          <w:rFonts w:ascii="Open Sans" w:eastAsia="Times New Roman" w:hAnsi="Open Sans" w:cs="Open Sans"/>
          <w:color w:val="555555"/>
          <w:kern w:val="0"/>
          <w:sz w:val="21"/>
          <w:szCs w:val="21"/>
          <w:bdr w:val="none" w:sz="0" w:space="0" w:color="auto" w:frame="1"/>
          <w:vertAlign w:val="superscript"/>
          <w:lang w:eastAsia="de-AT"/>
          <w14:ligatures w14:val="none"/>
        </w:rPr>
        <w:t>[</w:t>
      </w:r>
      <w:hyperlink r:id="rId10" w:anchor="footnote.5" w:history="1">
        <w:r w:rsidRPr="008E5AF1">
          <w:rPr>
            <w:rFonts w:ascii="Open Sans" w:eastAsia="Times New Roman" w:hAnsi="Open Sans" w:cs="Open Sans"/>
            <w:color w:val="2B7AB6"/>
            <w:kern w:val="0"/>
            <w:sz w:val="21"/>
            <w:szCs w:val="21"/>
            <w:bdr w:val="none" w:sz="0" w:space="0" w:color="auto" w:frame="1"/>
            <w:lang w:eastAsia="de-AT"/>
            <w14:ligatures w14:val="none"/>
          </w:rPr>
          <w:t>5</w:t>
        </w:r>
      </w:hyperlink>
      <w:r w:rsidRPr="008E5AF1">
        <w:rPr>
          <w:rFonts w:ascii="Open Sans" w:eastAsia="Times New Roman" w:hAnsi="Open Sans" w:cs="Open Sans"/>
          <w:color w:val="555555"/>
          <w:kern w:val="0"/>
          <w:sz w:val="21"/>
          <w:szCs w:val="21"/>
          <w:bdr w:val="none" w:sz="0" w:space="0" w:color="auto" w:frame="1"/>
          <w:vertAlign w:val="superscript"/>
          <w:lang w:eastAsia="de-AT"/>
          <w14:ligatures w14:val="none"/>
        </w:rPr>
        <w:t>]</w:t>
      </w:r>
      <w:r w:rsidRPr="008E5AF1">
        <w:rPr>
          <w:rFonts w:ascii="Open Sans" w:eastAsia="Times New Roman" w:hAnsi="Open Sans" w:cs="Open Sans"/>
          <w:color w:val="555555"/>
          <w:kern w:val="0"/>
          <w:sz w:val="30"/>
          <w:szCs w:val="30"/>
          <w:lang w:eastAsia="de-AT"/>
          <w14:ligatures w14:val="none"/>
        </w:rPr>
        <w:t>Die Ausweitung der Kreditrisikoprämien könnte diese Auswirkungen in vielen Entwicklungs- und Schwellenländern verstärken.</w:t>
      </w:r>
    </w:p>
    <w:p w14:paraId="067849F9" w14:textId="77777777" w:rsidR="008E5AF1" w:rsidRPr="008E5AF1" w:rsidRDefault="008E5AF1" w:rsidP="008E5AF1">
      <w:pPr>
        <w:spacing w:after="0" w:line="240" w:lineRule="auto"/>
        <w:textAlignment w:val="baseline"/>
        <w:rPr>
          <w:rFonts w:ascii="Open Sans" w:eastAsia="Times New Roman" w:hAnsi="Open Sans" w:cs="Open Sans"/>
          <w:color w:val="555555"/>
          <w:kern w:val="0"/>
          <w:sz w:val="30"/>
          <w:szCs w:val="30"/>
          <w:lang w:eastAsia="de-AT"/>
          <w14:ligatures w14:val="none"/>
        </w:rPr>
      </w:pPr>
      <w:r w:rsidRPr="008E5AF1">
        <w:rPr>
          <w:rFonts w:ascii="Open Sans" w:eastAsia="Times New Roman" w:hAnsi="Open Sans" w:cs="Open Sans"/>
          <w:color w:val="555555"/>
          <w:kern w:val="0"/>
          <w:sz w:val="30"/>
          <w:szCs w:val="30"/>
          <w:lang w:eastAsia="de-AT"/>
          <w14:ligatures w14:val="none"/>
        </w:rPr>
        <w:t>Die Erkenntnis, dass die Auswirkungen von Zinsänderungen nicht sektorübergreifend symmetrisch sind, ist nicht neu und empirisch gut dokumentiert.</w:t>
      </w:r>
      <w:r w:rsidRPr="008E5AF1">
        <w:rPr>
          <w:rFonts w:ascii="Open Sans" w:eastAsia="Times New Roman" w:hAnsi="Open Sans" w:cs="Open Sans"/>
          <w:color w:val="555555"/>
          <w:kern w:val="0"/>
          <w:sz w:val="21"/>
          <w:szCs w:val="21"/>
          <w:bdr w:val="none" w:sz="0" w:space="0" w:color="auto" w:frame="1"/>
          <w:vertAlign w:val="superscript"/>
          <w:lang w:eastAsia="de-AT"/>
          <w14:ligatures w14:val="none"/>
        </w:rPr>
        <w:t>[</w:t>
      </w:r>
      <w:hyperlink r:id="rId11" w:anchor="footnote.6" w:history="1">
        <w:r w:rsidRPr="008E5AF1">
          <w:rPr>
            <w:rFonts w:ascii="Open Sans" w:eastAsia="Times New Roman" w:hAnsi="Open Sans" w:cs="Open Sans"/>
            <w:color w:val="2B7AB6"/>
            <w:kern w:val="0"/>
            <w:sz w:val="21"/>
            <w:szCs w:val="21"/>
            <w:bdr w:val="none" w:sz="0" w:space="0" w:color="auto" w:frame="1"/>
            <w:lang w:eastAsia="de-AT"/>
            <w14:ligatures w14:val="none"/>
          </w:rPr>
          <w:t>6</w:t>
        </w:r>
      </w:hyperlink>
      <w:r w:rsidRPr="008E5AF1">
        <w:rPr>
          <w:rFonts w:ascii="Open Sans" w:eastAsia="Times New Roman" w:hAnsi="Open Sans" w:cs="Open Sans"/>
          <w:color w:val="555555"/>
          <w:kern w:val="0"/>
          <w:sz w:val="21"/>
          <w:szCs w:val="21"/>
          <w:bdr w:val="none" w:sz="0" w:space="0" w:color="auto" w:frame="1"/>
          <w:vertAlign w:val="superscript"/>
          <w:lang w:eastAsia="de-AT"/>
          <w14:ligatures w14:val="none"/>
        </w:rPr>
        <w:t>]</w:t>
      </w:r>
      <w:r w:rsidRPr="008E5AF1">
        <w:rPr>
          <w:rFonts w:ascii="Open Sans" w:eastAsia="Times New Roman" w:hAnsi="Open Sans" w:cs="Open Sans"/>
          <w:color w:val="555555"/>
          <w:kern w:val="0"/>
          <w:sz w:val="30"/>
          <w:szCs w:val="30"/>
          <w:lang w:eastAsia="de-AT"/>
          <w14:ligatures w14:val="none"/>
        </w:rPr>
        <w:t>Die außergewöhnlich hohen Risiken, die mit der grünen Wende verbunden sind, haben jedoch eine kontroverse öffentliche Debatte darüber entfacht, ob die derzeitige Straffung der Geldpolitik letztendlich das Tempo der Dekarbonisierung verlangsamen könnte.</w:t>
      </w:r>
    </w:p>
    <w:p w14:paraId="4FBA9406" w14:textId="77777777" w:rsidR="008E5AF1" w:rsidRPr="008E5AF1" w:rsidRDefault="008E5AF1" w:rsidP="008E5AF1">
      <w:pPr>
        <w:spacing w:after="0" w:line="240" w:lineRule="auto"/>
        <w:textAlignment w:val="baseline"/>
        <w:rPr>
          <w:rFonts w:ascii="Open Sans" w:eastAsia="Times New Roman" w:hAnsi="Open Sans" w:cs="Open Sans"/>
          <w:color w:val="555555"/>
          <w:kern w:val="0"/>
          <w:sz w:val="30"/>
          <w:szCs w:val="30"/>
          <w:lang w:eastAsia="de-AT"/>
          <w14:ligatures w14:val="none"/>
        </w:rPr>
      </w:pPr>
      <w:r w:rsidRPr="008E5AF1">
        <w:rPr>
          <w:rFonts w:ascii="Open Sans" w:eastAsia="Times New Roman" w:hAnsi="Open Sans" w:cs="Open Sans"/>
          <w:color w:val="555555"/>
          <w:kern w:val="0"/>
          <w:sz w:val="30"/>
          <w:szCs w:val="30"/>
          <w:lang w:eastAsia="de-AT"/>
          <w14:ligatures w14:val="none"/>
        </w:rPr>
        <w:t>Einige argumentieren, dass eine solche Verschärfung sogar mit dem Ziel der Preisstabilität unvereinbar sein könnte: Wenn die Treibhausgasemissionen nicht rasch gesenkt werden, bleiben unsere Volkswirtschaften den Risiken der „</w:t>
      </w:r>
      <w:proofErr w:type="spellStart"/>
      <w:r w:rsidRPr="008E5AF1">
        <w:rPr>
          <w:rFonts w:ascii="Open Sans" w:eastAsia="Times New Roman" w:hAnsi="Open Sans" w:cs="Open Sans"/>
          <w:color w:val="555555"/>
          <w:kern w:val="0"/>
          <w:sz w:val="30"/>
          <w:szCs w:val="30"/>
          <w:lang w:eastAsia="de-AT"/>
          <w14:ligatures w14:val="none"/>
        </w:rPr>
        <w:t>Klimaflation</w:t>
      </w:r>
      <w:proofErr w:type="spellEnd"/>
      <w:r w:rsidRPr="008E5AF1">
        <w:rPr>
          <w:rFonts w:ascii="Open Sans" w:eastAsia="Times New Roman" w:hAnsi="Open Sans" w:cs="Open Sans"/>
          <w:color w:val="555555"/>
          <w:kern w:val="0"/>
          <w:sz w:val="30"/>
          <w:szCs w:val="30"/>
          <w:lang w:eastAsia="de-AT"/>
          <w14:ligatures w14:val="none"/>
        </w:rPr>
        <w:t>“ und der „</w:t>
      </w:r>
      <w:proofErr w:type="spellStart"/>
      <w:r w:rsidRPr="008E5AF1">
        <w:rPr>
          <w:rFonts w:ascii="Open Sans" w:eastAsia="Times New Roman" w:hAnsi="Open Sans" w:cs="Open Sans"/>
          <w:color w:val="555555"/>
          <w:kern w:val="0"/>
          <w:sz w:val="30"/>
          <w:szCs w:val="30"/>
          <w:lang w:eastAsia="de-AT"/>
          <w14:ligatures w14:val="none"/>
        </w:rPr>
        <w:t>Fossilflation</w:t>
      </w:r>
      <w:proofErr w:type="spellEnd"/>
      <w:r w:rsidRPr="008E5AF1">
        <w:rPr>
          <w:rFonts w:ascii="Open Sans" w:eastAsia="Times New Roman" w:hAnsi="Open Sans" w:cs="Open Sans"/>
          <w:color w:val="555555"/>
          <w:kern w:val="0"/>
          <w:sz w:val="30"/>
          <w:szCs w:val="30"/>
          <w:lang w:eastAsia="de-AT"/>
          <w14:ligatures w14:val="none"/>
        </w:rPr>
        <w:t>“ ausgesetzt – also einem anhaltenden Inflationsdruck, der mit mehr einhergeht häufige Naturkatastrophen und eine anhaltende Abhängigkeit von Gas, Öl und Kohle.</w:t>
      </w:r>
      <w:r w:rsidRPr="008E5AF1">
        <w:rPr>
          <w:rFonts w:ascii="Open Sans" w:eastAsia="Times New Roman" w:hAnsi="Open Sans" w:cs="Open Sans"/>
          <w:color w:val="555555"/>
          <w:kern w:val="0"/>
          <w:sz w:val="21"/>
          <w:szCs w:val="21"/>
          <w:bdr w:val="none" w:sz="0" w:space="0" w:color="auto" w:frame="1"/>
          <w:vertAlign w:val="superscript"/>
          <w:lang w:eastAsia="de-AT"/>
          <w14:ligatures w14:val="none"/>
        </w:rPr>
        <w:t>[</w:t>
      </w:r>
      <w:hyperlink r:id="rId12" w:anchor="footnote.7" w:history="1">
        <w:r w:rsidRPr="008E5AF1">
          <w:rPr>
            <w:rFonts w:ascii="Open Sans" w:eastAsia="Times New Roman" w:hAnsi="Open Sans" w:cs="Open Sans"/>
            <w:color w:val="2B7AB6"/>
            <w:kern w:val="0"/>
            <w:sz w:val="21"/>
            <w:szCs w:val="21"/>
            <w:bdr w:val="none" w:sz="0" w:space="0" w:color="auto" w:frame="1"/>
            <w:lang w:eastAsia="de-AT"/>
            <w14:ligatures w14:val="none"/>
          </w:rPr>
          <w:t>7</w:t>
        </w:r>
      </w:hyperlink>
      <w:r w:rsidRPr="008E5AF1">
        <w:rPr>
          <w:rFonts w:ascii="Open Sans" w:eastAsia="Times New Roman" w:hAnsi="Open Sans" w:cs="Open Sans"/>
          <w:color w:val="555555"/>
          <w:kern w:val="0"/>
          <w:sz w:val="21"/>
          <w:szCs w:val="21"/>
          <w:bdr w:val="none" w:sz="0" w:space="0" w:color="auto" w:frame="1"/>
          <w:vertAlign w:val="superscript"/>
          <w:lang w:eastAsia="de-AT"/>
          <w14:ligatures w14:val="none"/>
        </w:rPr>
        <w:t>]</w:t>
      </w:r>
    </w:p>
    <w:p w14:paraId="43CD775B" w14:textId="77777777" w:rsidR="008E5AF1" w:rsidRPr="008E5AF1" w:rsidRDefault="008E5AF1" w:rsidP="008E5AF1">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8E5AF1">
        <w:rPr>
          <w:rFonts w:ascii="Open Sans" w:eastAsia="Times New Roman" w:hAnsi="Open Sans" w:cs="Open Sans"/>
          <w:color w:val="555555"/>
          <w:kern w:val="0"/>
          <w:sz w:val="30"/>
          <w:szCs w:val="30"/>
          <w:lang w:eastAsia="de-AT"/>
          <w14:ligatures w14:val="none"/>
        </w:rPr>
        <w:t>Diese Bedenken müssen ernst genommen werden. Da sie ein potenzielles Dilemma aufzeigen, das direkt mit dem primären Auftrag der Zentralbanken der Preisstabilität zusammenhängt, können wir sie aus rechtlichen Gründen nicht ignorieren.</w:t>
      </w:r>
    </w:p>
    <w:p w14:paraId="3C68BB58" w14:textId="77777777" w:rsidR="008E5AF1" w:rsidRPr="008E5AF1" w:rsidRDefault="008E5AF1" w:rsidP="008E5AF1">
      <w:pPr>
        <w:spacing w:after="0" w:line="240" w:lineRule="auto"/>
        <w:textAlignment w:val="baseline"/>
        <w:rPr>
          <w:rFonts w:ascii="Open Sans" w:eastAsia="Times New Roman" w:hAnsi="Open Sans" w:cs="Open Sans"/>
          <w:color w:val="555555"/>
          <w:kern w:val="0"/>
          <w:sz w:val="30"/>
          <w:szCs w:val="30"/>
          <w:lang w:eastAsia="de-AT"/>
          <w14:ligatures w14:val="none"/>
        </w:rPr>
      </w:pPr>
      <w:r w:rsidRPr="008E5AF1">
        <w:rPr>
          <w:rFonts w:ascii="Open Sans" w:eastAsia="Times New Roman" w:hAnsi="Open Sans" w:cs="Open Sans"/>
          <w:color w:val="555555"/>
          <w:kern w:val="0"/>
          <w:sz w:val="30"/>
          <w:szCs w:val="30"/>
          <w:lang w:eastAsia="de-AT"/>
          <w14:ligatures w14:val="none"/>
        </w:rPr>
        <w:t xml:space="preserve">Daher ist es keine Überraschung, dass der Klimawandel bei einem Symposium zur Unabhängigkeit der Zentralbanken eine zentrale Rolle spielt. Die Unabhängigkeit gewährt den Zentralbanken einen erheblichen Handlungsspielraum. Aber es erfordert auch, dass die Zentralbanken zur Rechenschaft </w:t>
      </w:r>
      <w:r w:rsidRPr="008E5AF1">
        <w:rPr>
          <w:rFonts w:ascii="Open Sans" w:eastAsia="Times New Roman" w:hAnsi="Open Sans" w:cs="Open Sans"/>
          <w:color w:val="555555"/>
          <w:kern w:val="0"/>
          <w:sz w:val="30"/>
          <w:szCs w:val="30"/>
          <w:lang w:eastAsia="de-AT"/>
          <w14:ligatures w14:val="none"/>
        </w:rPr>
        <w:lastRenderedPageBreak/>
        <w:t xml:space="preserve">gezogen werden – ein Punkt, den Stefan </w:t>
      </w:r>
      <w:proofErr w:type="spellStart"/>
      <w:r w:rsidRPr="008E5AF1">
        <w:rPr>
          <w:rFonts w:ascii="Open Sans" w:eastAsia="Times New Roman" w:hAnsi="Open Sans" w:cs="Open Sans"/>
          <w:color w:val="555555"/>
          <w:kern w:val="0"/>
          <w:sz w:val="30"/>
          <w:szCs w:val="30"/>
          <w:lang w:eastAsia="de-AT"/>
          <w14:ligatures w14:val="none"/>
        </w:rPr>
        <w:t>Ingves</w:t>
      </w:r>
      <w:proofErr w:type="spellEnd"/>
      <w:r w:rsidRPr="008E5AF1">
        <w:rPr>
          <w:rFonts w:ascii="Open Sans" w:eastAsia="Times New Roman" w:hAnsi="Open Sans" w:cs="Open Sans"/>
          <w:color w:val="555555"/>
          <w:kern w:val="0"/>
          <w:sz w:val="30"/>
          <w:szCs w:val="30"/>
          <w:lang w:eastAsia="de-AT"/>
          <w14:ligatures w14:val="none"/>
        </w:rPr>
        <w:t xml:space="preserve"> letztes Jahr in einer Rede hervorgehoben hat.</w:t>
      </w:r>
      <w:r w:rsidRPr="008E5AF1">
        <w:rPr>
          <w:rFonts w:ascii="Open Sans" w:eastAsia="Times New Roman" w:hAnsi="Open Sans" w:cs="Open Sans"/>
          <w:color w:val="555555"/>
          <w:kern w:val="0"/>
          <w:sz w:val="21"/>
          <w:szCs w:val="21"/>
          <w:bdr w:val="none" w:sz="0" w:space="0" w:color="auto" w:frame="1"/>
          <w:vertAlign w:val="superscript"/>
          <w:lang w:eastAsia="de-AT"/>
          <w14:ligatures w14:val="none"/>
        </w:rPr>
        <w:t>[</w:t>
      </w:r>
      <w:hyperlink r:id="rId13" w:anchor="footnote.8" w:history="1">
        <w:r w:rsidRPr="008E5AF1">
          <w:rPr>
            <w:rFonts w:ascii="Open Sans" w:eastAsia="Times New Roman" w:hAnsi="Open Sans" w:cs="Open Sans"/>
            <w:color w:val="2B7AB6"/>
            <w:kern w:val="0"/>
            <w:sz w:val="21"/>
            <w:szCs w:val="21"/>
            <w:bdr w:val="none" w:sz="0" w:space="0" w:color="auto" w:frame="1"/>
            <w:lang w:eastAsia="de-AT"/>
            <w14:ligatures w14:val="none"/>
          </w:rPr>
          <w:t>8</w:t>
        </w:r>
      </w:hyperlink>
      <w:r w:rsidRPr="008E5AF1">
        <w:rPr>
          <w:rFonts w:ascii="Open Sans" w:eastAsia="Times New Roman" w:hAnsi="Open Sans" w:cs="Open Sans"/>
          <w:color w:val="555555"/>
          <w:kern w:val="0"/>
          <w:sz w:val="21"/>
          <w:szCs w:val="21"/>
          <w:bdr w:val="none" w:sz="0" w:space="0" w:color="auto" w:frame="1"/>
          <w:vertAlign w:val="superscript"/>
          <w:lang w:eastAsia="de-AT"/>
          <w14:ligatures w14:val="none"/>
        </w:rPr>
        <w:t>]</w:t>
      </w:r>
      <w:r w:rsidRPr="008E5AF1">
        <w:rPr>
          <w:rFonts w:ascii="Open Sans" w:eastAsia="Times New Roman" w:hAnsi="Open Sans" w:cs="Open Sans"/>
          <w:color w:val="555555"/>
          <w:kern w:val="0"/>
          <w:sz w:val="30"/>
          <w:szCs w:val="30"/>
          <w:lang w:eastAsia="de-AT"/>
          <w14:ligatures w14:val="none"/>
        </w:rPr>
        <w:t>Wir müssen die Vorgehensweise begründen, die wir zur Erfüllung unseres Mandats für am geeignetsten halten.</w:t>
      </w:r>
    </w:p>
    <w:p w14:paraId="18E7FE48" w14:textId="77777777" w:rsidR="008E5AF1" w:rsidRPr="008E5AF1" w:rsidRDefault="008E5AF1" w:rsidP="008E5AF1">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8E5AF1">
        <w:rPr>
          <w:rFonts w:ascii="Open Sans" w:eastAsia="Times New Roman" w:hAnsi="Open Sans" w:cs="Open Sans"/>
          <w:color w:val="555555"/>
          <w:kern w:val="0"/>
          <w:sz w:val="30"/>
          <w:szCs w:val="30"/>
          <w:lang w:eastAsia="de-AT"/>
          <w14:ligatures w14:val="none"/>
        </w:rPr>
        <w:t xml:space="preserve">Das ist es, was ich heute mit meinen Ausführungen tun möchte. Ich werde argumentieren, dass der grüne Übergang grundsätzlicher gefährdet würde, wenn es nicht gelingt, die hohe Inflation rechtzeitig einzudämmen, und dass ein restriktiver geldpolitischer Kurs heute mittel- bis langfristig der Gesellschaft </w:t>
      </w:r>
      <w:proofErr w:type="spellStart"/>
      <w:proofErr w:type="gramStart"/>
      <w:r w:rsidRPr="008E5AF1">
        <w:rPr>
          <w:rFonts w:ascii="Open Sans" w:eastAsia="Times New Roman" w:hAnsi="Open Sans" w:cs="Open Sans"/>
          <w:color w:val="555555"/>
          <w:kern w:val="0"/>
          <w:sz w:val="30"/>
          <w:szCs w:val="30"/>
          <w:lang w:eastAsia="de-AT"/>
          <w14:ligatures w14:val="none"/>
        </w:rPr>
        <w:t>zugute kommen</w:t>
      </w:r>
      <w:proofErr w:type="spellEnd"/>
      <w:proofErr w:type="gramEnd"/>
      <w:r w:rsidRPr="008E5AF1">
        <w:rPr>
          <w:rFonts w:ascii="Open Sans" w:eastAsia="Times New Roman" w:hAnsi="Open Sans" w:cs="Open Sans"/>
          <w:color w:val="555555"/>
          <w:kern w:val="0"/>
          <w:sz w:val="30"/>
          <w:szCs w:val="30"/>
          <w:lang w:eastAsia="de-AT"/>
          <w14:ligatures w14:val="none"/>
        </w:rPr>
        <w:t xml:space="preserve"> wird, indem er die Preisstabilität wiederherstellt.</w:t>
      </w:r>
    </w:p>
    <w:p w14:paraId="1712C56F" w14:textId="77777777" w:rsidR="008E5AF1" w:rsidRPr="008E5AF1" w:rsidRDefault="008E5AF1" w:rsidP="008E5AF1">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8E5AF1">
        <w:rPr>
          <w:rFonts w:ascii="Open Sans" w:eastAsia="Times New Roman" w:hAnsi="Open Sans" w:cs="Open Sans"/>
          <w:color w:val="555555"/>
          <w:kern w:val="0"/>
          <w:sz w:val="30"/>
          <w:szCs w:val="30"/>
          <w:lang w:eastAsia="de-AT"/>
          <w14:ligatures w14:val="none"/>
        </w:rPr>
        <w:t>Ich möchte auch betonen, dass die Fiskalpolitik weiterhin die treibende Kraft sein und den Übergang zu einer grünen Wirtschaft beschleunigen muss und dass der Rückgang der EZB-Bilanz im Zuge unserer geldpolitischen Straffung zusätzliche Anstrengungen erfordert, um unsere Maßnahmen an den Zielen auszurichten das Pariser Abkommen.</w:t>
      </w:r>
    </w:p>
    <w:p w14:paraId="462CEC6B" w14:textId="77777777" w:rsidR="008E5AF1" w:rsidRPr="008E5AF1" w:rsidRDefault="008E5AF1" w:rsidP="008E5AF1">
      <w:pPr>
        <w:spacing w:before="750" w:after="300" w:line="582" w:lineRule="atLeast"/>
        <w:textAlignment w:val="baseline"/>
        <w:outlineLvl w:val="1"/>
        <w:rPr>
          <w:rFonts w:ascii="inherit" w:eastAsia="Times New Roman" w:hAnsi="inherit" w:cs="Open Sans"/>
          <w:b/>
          <w:bCs/>
          <w:color w:val="003299"/>
          <w:kern w:val="0"/>
          <w:sz w:val="42"/>
          <w:szCs w:val="42"/>
          <w:lang w:eastAsia="de-AT"/>
          <w14:ligatures w14:val="none"/>
        </w:rPr>
      </w:pPr>
      <w:r w:rsidRPr="008E5AF1">
        <w:rPr>
          <w:rFonts w:ascii="inherit" w:eastAsia="Times New Roman" w:hAnsi="inherit" w:cs="Open Sans"/>
          <w:b/>
          <w:bCs/>
          <w:color w:val="003299"/>
          <w:kern w:val="0"/>
          <w:sz w:val="42"/>
          <w:szCs w:val="42"/>
          <w:lang w:eastAsia="de-AT"/>
          <w14:ligatures w14:val="none"/>
        </w:rPr>
        <w:t>Der grüne Wandel kann nur bei Preisstabilität gelingen</w:t>
      </w:r>
    </w:p>
    <w:p w14:paraId="4476AE72" w14:textId="77777777" w:rsidR="008E5AF1" w:rsidRPr="008E5AF1" w:rsidRDefault="008E5AF1" w:rsidP="008E5AF1">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8E5AF1">
        <w:rPr>
          <w:rFonts w:ascii="Open Sans" w:eastAsia="Times New Roman" w:hAnsi="Open Sans" w:cs="Open Sans"/>
          <w:color w:val="555555"/>
          <w:kern w:val="0"/>
          <w:sz w:val="30"/>
          <w:szCs w:val="30"/>
          <w:lang w:eastAsia="de-AT"/>
          <w14:ligatures w14:val="none"/>
        </w:rPr>
        <w:t xml:space="preserve">Im vergangenen Jahr haben wir energische Maßnahmen ergriffen, um die Inflation einzudämmen, indem wir zunächst den Nettoerwerb von Vermögenswerten stoppten und dann unsere Leitzinsen insgesamt um zweieinhalb Prozentpunkte anhoben. Wir haben außerdem angekündigt, dass das Eurosystem nicht mehr alle Tilgungszahlungen aus fällig werdenden Wertpapieren im Rahmen des Asset </w:t>
      </w:r>
      <w:proofErr w:type="spellStart"/>
      <w:r w:rsidRPr="008E5AF1">
        <w:rPr>
          <w:rFonts w:ascii="Open Sans" w:eastAsia="Times New Roman" w:hAnsi="Open Sans" w:cs="Open Sans"/>
          <w:color w:val="555555"/>
          <w:kern w:val="0"/>
          <w:sz w:val="30"/>
          <w:szCs w:val="30"/>
          <w:lang w:eastAsia="de-AT"/>
          <w14:ligatures w14:val="none"/>
        </w:rPr>
        <w:t>Purchase</w:t>
      </w:r>
      <w:proofErr w:type="spellEnd"/>
      <w:r w:rsidRPr="008E5AF1">
        <w:rPr>
          <w:rFonts w:ascii="Open Sans" w:eastAsia="Times New Roman" w:hAnsi="Open Sans" w:cs="Open Sans"/>
          <w:color w:val="555555"/>
          <w:kern w:val="0"/>
          <w:sz w:val="30"/>
          <w:szCs w:val="30"/>
          <w:lang w:eastAsia="de-AT"/>
          <w14:ligatures w14:val="none"/>
        </w:rPr>
        <w:t xml:space="preserve"> Programme (APP) reinvestieren wird.</w:t>
      </w:r>
    </w:p>
    <w:p w14:paraId="180F22A2" w14:textId="77777777" w:rsidR="008E5AF1" w:rsidRPr="008E5AF1" w:rsidRDefault="008E5AF1" w:rsidP="008E5AF1">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8E5AF1">
        <w:rPr>
          <w:rFonts w:ascii="Open Sans" w:eastAsia="Times New Roman" w:hAnsi="Open Sans" w:cs="Open Sans"/>
          <w:color w:val="555555"/>
          <w:kern w:val="0"/>
          <w:sz w:val="30"/>
          <w:szCs w:val="30"/>
          <w:lang w:eastAsia="de-AT"/>
          <w14:ligatures w14:val="none"/>
        </w:rPr>
        <w:lastRenderedPageBreak/>
        <w:t>Wir gehen davon aus, dass die Zinssätze noch immer deutlich und stetig ansteigen müssen, um ein Niveau zu erreichen, das ausreichend restriktiv ist, um eine rechtzeitige Rückkehr der Inflation zu unserem mittelfristigen Ziel von 2 % zu gewährleisten.</w:t>
      </w:r>
    </w:p>
    <w:p w14:paraId="17B064D0" w14:textId="77777777" w:rsidR="008E5AF1" w:rsidRPr="008E5AF1" w:rsidRDefault="008E5AF1" w:rsidP="008E5AF1">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8E5AF1">
        <w:rPr>
          <w:rFonts w:ascii="Open Sans" w:eastAsia="Times New Roman" w:hAnsi="Open Sans" w:cs="Open Sans"/>
          <w:color w:val="555555"/>
          <w:kern w:val="0"/>
          <w:sz w:val="30"/>
          <w:szCs w:val="30"/>
          <w:lang w:eastAsia="de-AT"/>
          <w14:ligatures w14:val="none"/>
        </w:rPr>
        <w:t>Mit steigenden Zinssätzen wird die Finanzierung von Investitionen in grüne Technologien teurer, wodurch das Risiko besteht, dass höhere Kapitalkosten das Tempo der Dekarbonisierung verlangsamen könnten. Es gibt jedoch drei miteinander verbundene Gründe, warum strengere Finanzierungsbedingungen die angemessene Antwort auf die Herausforderungen sind, vor denen wir heute stehen.</w:t>
      </w:r>
    </w:p>
    <w:p w14:paraId="65184FBC" w14:textId="77777777" w:rsidR="008E5AF1" w:rsidRPr="008E5AF1" w:rsidRDefault="008E5AF1" w:rsidP="008E5AF1">
      <w:pPr>
        <w:spacing w:after="0" w:line="240" w:lineRule="auto"/>
        <w:textAlignment w:val="baseline"/>
        <w:rPr>
          <w:rFonts w:ascii="Open Sans" w:eastAsia="Times New Roman" w:hAnsi="Open Sans" w:cs="Open Sans"/>
          <w:color w:val="555555"/>
          <w:kern w:val="0"/>
          <w:sz w:val="30"/>
          <w:szCs w:val="30"/>
          <w:lang w:eastAsia="de-AT"/>
          <w14:ligatures w14:val="none"/>
        </w:rPr>
      </w:pPr>
      <w:r w:rsidRPr="008E5AF1">
        <w:rPr>
          <w:rFonts w:ascii="Open Sans" w:eastAsia="Times New Roman" w:hAnsi="Open Sans" w:cs="Open Sans"/>
          <w:color w:val="555555"/>
          <w:kern w:val="0"/>
          <w:sz w:val="30"/>
          <w:szCs w:val="30"/>
          <w:lang w:eastAsia="de-AT"/>
          <w14:ligatures w14:val="none"/>
        </w:rPr>
        <w:t>Erstens ist die derzeit hohe Inflation eine Steuer auf Investitionen. In vielen Ländern erhöht es die Kapitalnutzungskosten, indem es den effektiven Steuersatz für Unternehmensinvestitionen erhöht.</w:t>
      </w:r>
      <w:r w:rsidRPr="008E5AF1">
        <w:rPr>
          <w:rFonts w:ascii="Open Sans" w:eastAsia="Times New Roman" w:hAnsi="Open Sans" w:cs="Open Sans"/>
          <w:color w:val="555555"/>
          <w:kern w:val="0"/>
          <w:sz w:val="21"/>
          <w:szCs w:val="21"/>
          <w:bdr w:val="none" w:sz="0" w:space="0" w:color="auto" w:frame="1"/>
          <w:vertAlign w:val="superscript"/>
          <w:lang w:eastAsia="de-AT"/>
          <w14:ligatures w14:val="none"/>
        </w:rPr>
        <w:t>[</w:t>
      </w:r>
      <w:hyperlink r:id="rId14" w:anchor="footnote.9" w:history="1">
        <w:r w:rsidRPr="008E5AF1">
          <w:rPr>
            <w:rFonts w:ascii="Open Sans" w:eastAsia="Times New Roman" w:hAnsi="Open Sans" w:cs="Open Sans"/>
            <w:color w:val="2B7AB6"/>
            <w:kern w:val="0"/>
            <w:sz w:val="21"/>
            <w:szCs w:val="21"/>
            <w:bdr w:val="none" w:sz="0" w:space="0" w:color="auto" w:frame="1"/>
            <w:lang w:eastAsia="de-AT"/>
            <w14:ligatures w14:val="none"/>
          </w:rPr>
          <w:t>9</w:t>
        </w:r>
      </w:hyperlink>
      <w:r w:rsidRPr="008E5AF1">
        <w:rPr>
          <w:rFonts w:ascii="Open Sans" w:eastAsia="Times New Roman" w:hAnsi="Open Sans" w:cs="Open Sans"/>
          <w:color w:val="555555"/>
          <w:kern w:val="0"/>
          <w:sz w:val="21"/>
          <w:szCs w:val="21"/>
          <w:bdr w:val="none" w:sz="0" w:space="0" w:color="auto" w:frame="1"/>
          <w:vertAlign w:val="superscript"/>
          <w:lang w:eastAsia="de-AT"/>
          <w14:ligatures w14:val="none"/>
        </w:rPr>
        <w:t>]</w:t>
      </w:r>
      <w:r w:rsidRPr="008E5AF1">
        <w:rPr>
          <w:rFonts w:ascii="Open Sans" w:eastAsia="Times New Roman" w:hAnsi="Open Sans" w:cs="Open Sans"/>
          <w:color w:val="555555"/>
          <w:kern w:val="0"/>
          <w:sz w:val="30"/>
          <w:szCs w:val="30"/>
          <w:lang w:eastAsia="de-AT"/>
          <w14:ligatures w14:val="none"/>
        </w:rPr>
        <w:t xml:space="preserve">Eine hohe Inflation erhöht zudem die Unsicherheit und verzerrt relative Preissignale, die für Investitionsentscheidungen relevant sind. Und es könnte das Produktivitätswachstum verlangsamen, wie es in den 1970er Jahren in den Vereinigten Staaten der Fall </w:t>
      </w:r>
      <w:proofErr w:type="gramStart"/>
      <w:r w:rsidRPr="008E5AF1">
        <w:rPr>
          <w:rFonts w:ascii="Open Sans" w:eastAsia="Times New Roman" w:hAnsi="Open Sans" w:cs="Open Sans"/>
          <w:color w:val="555555"/>
          <w:kern w:val="0"/>
          <w:sz w:val="30"/>
          <w:szCs w:val="30"/>
          <w:lang w:eastAsia="de-AT"/>
          <w14:ligatures w14:val="none"/>
        </w:rPr>
        <w:t>war.</w:t>
      </w:r>
      <w:r w:rsidRPr="008E5AF1">
        <w:rPr>
          <w:rFonts w:ascii="Open Sans" w:eastAsia="Times New Roman" w:hAnsi="Open Sans" w:cs="Open Sans"/>
          <w:color w:val="555555"/>
          <w:kern w:val="0"/>
          <w:sz w:val="21"/>
          <w:szCs w:val="21"/>
          <w:bdr w:val="none" w:sz="0" w:space="0" w:color="auto" w:frame="1"/>
          <w:vertAlign w:val="superscript"/>
          <w:lang w:eastAsia="de-AT"/>
          <w14:ligatures w14:val="none"/>
        </w:rPr>
        <w:t>[</w:t>
      </w:r>
      <w:proofErr w:type="gramEnd"/>
      <w:r w:rsidRPr="008E5AF1">
        <w:rPr>
          <w:rFonts w:ascii="Open Sans" w:eastAsia="Times New Roman" w:hAnsi="Open Sans" w:cs="Open Sans"/>
          <w:color w:val="555555"/>
          <w:kern w:val="0"/>
          <w:sz w:val="21"/>
          <w:szCs w:val="21"/>
          <w:bdr w:val="none" w:sz="0" w:space="0" w:color="auto" w:frame="1"/>
          <w:vertAlign w:val="superscript"/>
          <w:lang w:eastAsia="de-AT"/>
          <w14:ligatures w14:val="none"/>
        </w:rPr>
        <w:fldChar w:fldCharType="begin"/>
      </w:r>
      <w:r w:rsidRPr="008E5AF1">
        <w:rPr>
          <w:rFonts w:ascii="Open Sans" w:eastAsia="Times New Roman" w:hAnsi="Open Sans" w:cs="Open Sans"/>
          <w:color w:val="555555"/>
          <w:kern w:val="0"/>
          <w:sz w:val="21"/>
          <w:szCs w:val="21"/>
          <w:bdr w:val="none" w:sz="0" w:space="0" w:color="auto" w:frame="1"/>
          <w:vertAlign w:val="superscript"/>
          <w:lang w:eastAsia="de-AT"/>
          <w14:ligatures w14:val="none"/>
        </w:rPr>
        <w:instrText>HYPERLINK "https://www.ecb.europa.eu/press/key/date/2023/html/ecb.sp230110~21c89bef1b.en.html" \l "footnote.10"</w:instrText>
      </w:r>
      <w:r w:rsidRPr="008E5AF1">
        <w:rPr>
          <w:rFonts w:ascii="Open Sans" w:eastAsia="Times New Roman" w:hAnsi="Open Sans" w:cs="Open Sans"/>
          <w:color w:val="555555"/>
          <w:kern w:val="0"/>
          <w:sz w:val="21"/>
          <w:szCs w:val="21"/>
          <w:bdr w:val="none" w:sz="0" w:space="0" w:color="auto" w:frame="1"/>
          <w:vertAlign w:val="superscript"/>
          <w:lang w:eastAsia="de-AT"/>
          <w14:ligatures w14:val="none"/>
        </w:rPr>
      </w:r>
      <w:r w:rsidRPr="008E5AF1">
        <w:rPr>
          <w:rFonts w:ascii="Open Sans" w:eastAsia="Times New Roman" w:hAnsi="Open Sans" w:cs="Open Sans"/>
          <w:color w:val="555555"/>
          <w:kern w:val="0"/>
          <w:sz w:val="21"/>
          <w:szCs w:val="21"/>
          <w:bdr w:val="none" w:sz="0" w:space="0" w:color="auto" w:frame="1"/>
          <w:vertAlign w:val="superscript"/>
          <w:lang w:eastAsia="de-AT"/>
          <w14:ligatures w14:val="none"/>
        </w:rPr>
        <w:fldChar w:fldCharType="separate"/>
      </w:r>
      <w:r w:rsidRPr="008E5AF1">
        <w:rPr>
          <w:rFonts w:ascii="Open Sans" w:eastAsia="Times New Roman" w:hAnsi="Open Sans" w:cs="Open Sans"/>
          <w:color w:val="2B7AB6"/>
          <w:kern w:val="0"/>
          <w:sz w:val="21"/>
          <w:szCs w:val="21"/>
          <w:bdr w:val="none" w:sz="0" w:space="0" w:color="auto" w:frame="1"/>
          <w:lang w:eastAsia="de-AT"/>
          <w14:ligatures w14:val="none"/>
        </w:rPr>
        <w:t>10</w:t>
      </w:r>
      <w:r w:rsidRPr="008E5AF1">
        <w:rPr>
          <w:rFonts w:ascii="Open Sans" w:eastAsia="Times New Roman" w:hAnsi="Open Sans" w:cs="Open Sans"/>
          <w:color w:val="555555"/>
          <w:kern w:val="0"/>
          <w:sz w:val="21"/>
          <w:szCs w:val="21"/>
          <w:bdr w:val="none" w:sz="0" w:space="0" w:color="auto" w:frame="1"/>
          <w:vertAlign w:val="superscript"/>
          <w:lang w:eastAsia="de-AT"/>
          <w14:ligatures w14:val="none"/>
        </w:rPr>
        <w:fldChar w:fldCharType="end"/>
      </w:r>
      <w:r w:rsidRPr="008E5AF1">
        <w:rPr>
          <w:rFonts w:ascii="Open Sans" w:eastAsia="Times New Roman" w:hAnsi="Open Sans" w:cs="Open Sans"/>
          <w:color w:val="555555"/>
          <w:kern w:val="0"/>
          <w:sz w:val="21"/>
          <w:szCs w:val="21"/>
          <w:bdr w:val="none" w:sz="0" w:space="0" w:color="auto" w:frame="1"/>
          <w:vertAlign w:val="superscript"/>
          <w:lang w:eastAsia="de-AT"/>
          <w14:ligatures w14:val="none"/>
        </w:rPr>
        <w:t>]</w:t>
      </w:r>
    </w:p>
    <w:p w14:paraId="70B7C6C5" w14:textId="77777777" w:rsidR="008E5AF1" w:rsidRPr="008E5AF1" w:rsidRDefault="008E5AF1" w:rsidP="008E5AF1">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8E5AF1">
        <w:rPr>
          <w:rFonts w:ascii="Open Sans" w:eastAsia="Times New Roman" w:hAnsi="Open Sans" w:cs="Open Sans"/>
          <w:color w:val="555555"/>
          <w:kern w:val="0"/>
          <w:sz w:val="30"/>
          <w:szCs w:val="30"/>
          <w:lang w:eastAsia="de-AT"/>
          <w14:ligatures w14:val="none"/>
        </w:rPr>
        <w:t>Daher würde der grüne Übergang in einem Umfeld hoher Inflation nicht gedeihen. Preisstabilität ist eine Voraussetzung für die nachhaltige Transformation unserer Wirtschaft.</w:t>
      </w:r>
    </w:p>
    <w:p w14:paraId="55516DD9" w14:textId="77777777" w:rsidR="008E5AF1" w:rsidRPr="008E5AF1" w:rsidRDefault="008E5AF1" w:rsidP="008E5AF1">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8E5AF1">
        <w:rPr>
          <w:rFonts w:ascii="Open Sans" w:eastAsia="Times New Roman" w:hAnsi="Open Sans" w:cs="Open Sans"/>
          <w:color w:val="555555"/>
          <w:kern w:val="0"/>
          <w:sz w:val="30"/>
          <w:szCs w:val="30"/>
          <w:lang w:eastAsia="de-AT"/>
          <w14:ligatures w14:val="none"/>
        </w:rPr>
        <w:t>Zweitens wird die Inflation nicht von selbst nachlassen.</w:t>
      </w:r>
    </w:p>
    <w:p w14:paraId="2FF00875" w14:textId="77777777" w:rsidR="008E5AF1" w:rsidRPr="008E5AF1" w:rsidRDefault="008E5AF1" w:rsidP="008E5AF1">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8E5AF1">
        <w:rPr>
          <w:rFonts w:ascii="Open Sans" w:eastAsia="Times New Roman" w:hAnsi="Open Sans" w:cs="Open Sans"/>
          <w:color w:val="555555"/>
          <w:kern w:val="0"/>
          <w:sz w:val="30"/>
          <w:szCs w:val="30"/>
          <w:lang w:eastAsia="de-AT"/>
          <w14:ligatures w14:val="none"/>
        </w:rPr>
        <w:t xml:space="preserve">Was als relativer Preisschock begann, hat sich nach und nach in einen breit angelegten Anstieg des allgemeinen Preisniveaus gewandelt. Vorläufige Inflationsdaten für Dezember deuten auf einen anhaltenden Aufbau des zugrunde liegenden Preisdrucks </w:t>
      </w:r>
      <w:r w:rsidRPr="008E5AF1">
        <w:rPr>
          <w:rFonts w:ascii="Open Sans" w:eastAsia="Times New Roman" w:hAnsi="Open Sans" w:cs="Open Sans"/>
          <w:color w:val="555555"/>
          <w:kern w:val="0"/>
          <w:sz w:val="30"/>
          <w:szCs w:val="30"/>
          <w:lang w:eastAsia="de-AT"/>
          <w14:ligatures w14:val="none"/>
        </w:rPr>
        <w:lastRenderedPageBreak/>
        <w:t>hin, auch wenn die Energiepreisinflation begonnen hat, von einem unangenehm hohen Niveau aus nachzulassen.</w:t>
      </w:r>
    </w:p>
    <w:p w14:paraId="26813630" w14:textId="77777777" w:rsidR="008E5AF1" w:rsidRPr="008E5AF1" w:rsidRDefault="008E5AF1" w:rsidP="008E5AF1">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8E5AF1">
        <w:rPr>
          <w:rFonts w:ascii="Open Sans" w:eastAsia="Times New Roman" w:hAnsi="Open Sans" w:cs="Open Sans"/>
          <w:color w:val="555555"/>
          <w:kern w:val="0"/>
          <w:sz w:val="30"/>
          <w:szCs w:val="30"/>
          <w:lang w:eastAsia="de-AT"/>
          <w14:ligatures w14:val="none"/>
        </w:rPr>
        <w:t>Um das heutige Inflationsproblem zu lösen, müssen die Finanzierungsbedingungen restriktiver werden. Strengere Finanzierungsbedingungen werden das Wachstum der Gesamtnachfrage verlangsamen, was erforderlich ist, um den Aufwärtsdruck auf die Preise zu verringern, der aus der langanhaltenden Beeinträchtigung der Produktionskapazität des Euroraums durch die Energiekrise resultiert.</w:t>
      </w:r>
    </w:p>
    <w:p w14:paraId="4608A66E" w14:textId="77777777" w:rsidR="008E5AF1" w:rsidRPr="008E5AF1" w:rsidRDefault="008E5AF1" w:rsidP="008E5AF1">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8E5AF1">
        <w:rPr>
          <w:rFonts w:ascii="Open Sans" w:eastAsia="Times New Roman" w:hAnsi="Open Sans" w:cs="Open Sans"/>
          <w:color w:val="555555"/>
          <w:kern w:val="0"/>
          <w:sz w:val="30"/>
          <w:szCs w:val="30"/>
          <w:lang w:eastAsia="de-AT"/>
          <w14:ligatures w14:val="none"/>
        </w:rPr>
        <w:t>Indem wir das Gesamtangebot und die Nachfrage wieder ins Gleichgewicht bringen, werden wir den Prozess beschleunigen, durch den die Inflation auf unser Ziel von 2 % zurückfällt, und so sicherstellen, dass die längerfristigen Inflationserwartungen verankert bleiben.</w:t>
      </w:r>
    </w:p>
    <w:p w14:paraId="54E59F61" w14:textId="77777777" w:rsidR="008E5AF1" w:rsidRPr="008E5AF1" w:rsidRDefault="008E5AF1" w:rsidP="008E5AF1">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8E5AF1">
        <w:rPr>
          <w:rFonts w:ascii="Open Sans" w:eastAsia="Times New Roman" w:hAnsi="Open Sans" w:cs="Open Sans"/>
          <w:color w:val="555555"/>
          <w:kern w:val="0"/>
          <w:sz w:val="30"/>
          <w:szCs w:val="30"/>
          <w:lang w:eastAsia="de-AT"/>
          <w14:ligatures w14:val="none"/>
        </w:rPr>
        <w:t>Drittens zeigt die Erfahrung der 1970er-Jahre, dass eine Politik, die fälschlicherweise auf der Annahme basiert, dass die Inflation von selbst sinken wird, letztlich den grünen Übergang grundsätzlicher gefährden könnte.</w:t>
      </w:r>
    </w:p>
    <w:p w14:paraId="082028C7" w14:textId="77777777" w:rsidR="008E5AF1" w:rsidRPr="008E5AF1" w:rsidRDefault="008E5AF1" w:rsidP="008E5AF1">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8E5AF1">
        <w:rPr>
          <w:rFonts w:ascii="Open Sans" w:eastAsia="Times New Roman" w:hAnsi="Open Sans" w:cs="Open Sans"/>
          <w:color w:val="555555"/>
          <w:kern w:val="0"/>
          <w:sz w:val="30"/>
          <w:szCs w:val="30"/>
          <w:lang w:eastAsia="de-AT"/>
          <w14:ligatures w14:val="none"/>
        </w:rPr>
        <w:t>In diesem Fall müsste die Geldpolitik die Zinsen noch stärker anheben, um das Vertrauen in den nominalen Anker der Wirtschaft wiederherzustellen. In den 1970er Jahren verschärften sich die Finanzierungsbedingungen in einem Ausmaß, das die Kapitalbildung unerschwinglich verteuerte.</w:t>
      </w:r>
    </w:p>
    <w:p w14:paraId="54C91A48" w14:textId="77777777" w:rsidR="008E5AF1" w:rsidRPr="008E5AF1" w:rsidRDefault="008E5AF1" w:rsidP="008E5AF1">
      <w:pPr>
        <w:spacing w:after="0" w:line="240" w:lineRule="auto"/>
        <w:textAlignment w:val="baseline"/>
        <w:rPr>
          <w:rFonts w:ascii="Open Sans" w:eastAsia="Times New Roman" w:hAnsi="Open Sans" w:cs="Open Sans"/>
          <w:color w:val="555555"/>
          <w:kern w:val="0"/>
          <w:sz w:val="30"/>
          <w:szCs w:val="30"/>
          <w:lang w:eastAsia="de-AT"/>
          <w14:ligatures w14:val="none"/>
        </w:rPr>
      </w:pPr>
      <w:r w:rsidRPr="008E5AF1">
        <w:rPr>
          <w:rFonts w:ascii="Open Sans" w:eastAsia="Times New Roman" w:hAnsi="Open Sans" w:cs="Open Sans"/>
          <w:color w:val="555555"/>
          <w:kern w:val="0"/>
          <w:sz w:val="30"/>
          <w:szCs w:val="30"/>
          <w:lang w:eastAsia="de-AT"/>
          <w14:ligatures w14:val="none"/>
        </w:rPr>
        <w:t>Unsere derzeitige Politik ist darauf ausgerichtet, solche sehr schlechten Ergebnisse zu vermeiden.</w:t>
      </w:r>
      <w:r w:rsidRPr="008E5AF1">
        <w:rPr>
          <w:rFonts w:ascii="Open Sans" w:eastAsia="Times New Roman" w:hAnsi="Open Sans" w:cs="Open Sans"/>
          <w:color w:val="555555"/>
          <w:kern w:val="0"/>
          <w:sz w:val="21"/>
          <w:szCs w:val="21"/>
          <w:bdr w:val="none" w:sz="0" w:space="0" w:color="auto" w:frame="1"/>
          <w:vertAlign w:val="superscript"/>
          <w:lang w:eastAsia="de-AT"/>
          <w14:ligatures w14:val="none"/>
        </w:rPr>
        <w:t>[</w:t>
      </w:r>
      <w:hyperlink r:id="rId15" w:anchor="footnote.11" w:history="1">
        <w:r w:rsidRPr="008E5AF1">
          <w:rPr>
            <w:rFonts w:ascii="Open Sans" w:eastAsia="Times New Roman" w:hAnsi="Open Sans" w:cs="Open Sans"/>
            <w:color w:val="2B7AB6"/>
            <w:kern w:val="0"/>
            <w:sz w:val="21"/>
            <w:szCs w:val="21"/>
            <w:bdr w:val="none" w:sz="0" w:space="0" w:color="auto" w:frame="1"/>
            <w:lang w:eastAsia="de-AT"/>
            <w14:ligatures w14:val="none"/>
          </w:rPr>
          <w:t>11</w:t>
        </w:r>
      </w:hyperlink>
      <w:r w:rsidRPr="008E5AF1">
        <w:rPr>
          <w:rFonts w:ascii="Open Sans" w:eastAsia="Times New Roman" w:hAnsi="Open Sans" w:cs="Open Sans"/>
          <w:color w:val="555555"/>
          <w:kern w:val="0"/>
          <w:sz w:val="21"/>
          <w:szCs w:val="21"/>
          <w:bdr w:val="none" w:sz="0" w:space="0" w:color="auto" w:frame="1"/>
          <w:vertAlign w:val="superscript"/>
          <w:lang w:eastAsia="de-AT"/>
          <w14:ligatures w14:val="none"/>
        </w:rPr>
        <w:t>]</w:t>
      </w:r>
      <w:r w:rsidRPr="008E5AF1">
        <w:rPr>
          <w:rFonts w:ascii="Open Sans" w:eastAsia="Times New Roman" w:hAnsi="Open Sans" w:cs="Open Sans"/>
          <w:color w:val="555555"/>
          <w:kern w:val="0"/>
          <w:sz w:val="30"/>
          <w:szCs w:val="30"/>
          <w:lang w:eastAsia="de-AT"/>
          <w14:ligatures w14:val="none"/>
        </w:rPr>
        <w:t xml:space="preserve">Eine entschlossene Reaktion auf das Risiko einer Verfestigung der Inflation sichert nicht nur die Preisstabilität, sondern schafft auch die </w:t>
      </w:r>
      <w:r w:rsidRPr="008E5AF1">
        <w:rPr>
          <w:rFonts w:ascii="Open Sans" w:eastAsia="Times New Roman" w:hAnsi="Open Sans" w:cs="Open Sans"/>
          <w:color w:val="555555"/>
          <w:kern w:val="0"/>
          <w:sz w:val="30"/>
          <w:szCs w:val="30"/>
          <w:lang w:eastAsia="de-AT"/>
          <w14:ligatures w14:val="none"/>
        </w:rPr>
        <w:lastRenderedPageBreak/>
        <w:t>Voraussetzungen, unter denen der grüne Wandel nachhaltig gedeihen kann.</w:t>
      </w:r>
    </w:p>
    <w:p w14:paraId="42021AA4" w14:textId="77777777" w:rsidR="008E5AF1" w:rsidRPr="008E5AF1" w:rsidRDefault="008E5AF1" w:rsidP="008E5AF1">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8E5AF1">
        <w:rPr>
          <w:rFonts w:ascii="Open Sans" w:eastAsia="Times New Roman" w:hAnsi="Open Sans" w:cs="Open Sans"/>
          <w:color w:val="555555"/>
          <w:kern w:val="0"/>
          <w:sz w:val="30"/>
          <w:szCs w:val="30"/>
          <w:lang w:eastAsia="de-AT"/>
          <w14:ligatures w14:val="none"/>
        </w:rPr>
        <w:t>Obwohl die Kreditkosten aufgrund unserer Maßnahmen teurer geworden sind, sind die Finanzierungsbedingungen aus historischer Sicht nach wie vor günstig. Beispielsweise sind die Maße der realen langfristigen Zinssätze, die für grüne Investitionen am wichtigsten sind, im historischen Vergleich nach wie vor niedrig (Folie 3).</w:t>
      </w:r>
    </w:p>
    <w:p w14:paraId="65C4E14A" w14:textId="77777777" w:rsidR="008E5AF1" w:rsidRPr="008E5AF1" w:rsidRDefault="008E5AF1" w:rsidP="008E5AF1">
      <w:pPr>
        <w:spacing w:after="0" w:line="240" w:lineRule="auto"/>
        <w:textAlignment w:val="baseline"/>
        <w:rPr>
          <w:rFonts w:ascii="Open Sans" w:eastAsia="Times New Roman" w:hAnsi="Open Sans" w:cs="Open Sans"/>
          <w:color w:val="555555"/>
          <w:kern w:val="0"/>
          <w:sz w:val="30"/>
          <w:szCs w:val="30"/>
          <w:lang w:eastAsia="de-AT"/>
          <w14:ligatures w14:val="none"/>
        </w:rPr>
      </w:pPr>
      <w:r w:rsidRPr="008E5AF1">
        <w:rPr>
          <w:rFonts w:ascii="Open Sans" w:eastAsia="Times New Roman" w:hAnsi="Open Sans" w:cs="Open Sans"/>
          <w:color w:val="555555"/>
          <w:kern w:val="0"/>
          <w:sz w:val="30"/>
          <w:szCs w:val="30"/>
          <w:lang w:eastAsia="de-AT"/>
          <w14:ligatures w14:val="none"/>
        </w:rPr>
        <w:t>Dementsprechend sieht eine große Mehrheit der führenden Klimaökonomen, die letztes Jahr befragt wurden, nur leichte oder sehr geringe Auswirkungen der steigenden Kreditkosten auf den Übergang zu Netto-Null-Emissionen bis 2050.</w:t>
      </w:r>
      <w:r w:rsidRPr="008E5AF1">
        <w:rPr>
          <w:rFonts w:ascii="Open Sans" w:eastAsia="Times New Roman" w:hAnsi="Open Sans" w:cs="Open Sans"/>
          <w:color w:val="555555"/>
          <w:kern w:val="0"/>
          <w:sz w:val="21"/>
          <w:szCs w:val="21"/>
          <w:bdr w:val="none" w:sz="0" w:space="0" w:color="auto" w:frame="1"/>
          <w:vertAlign w:val="superscript"/>
          <w:lang w:eastAsia="de-AT"/>
          <w14:ligatures w14:val="none"/>
        </w:rPr>
        <w:t>[</w:t>
      </w:r>
      <w:hyperlink r:id="rId16" w:anchor="footnote.12" w:history="1">
        <w:r w:rsidRPr="008E5AF1">
          <w:rPr>
            <w:rFonts w:ascii="Open Sans" w:eastAsia="Times New Roman" w:hAnsi="Open Sans" w:cs="Open Sans"/>
            <w:color w:val="2B7AB6"/>
            <w:kern w:val="0"/>
            <w:sz w:val="21"/>
            <w:szCs w:val="21"/>
            <w:bdr w:val="none" w:sz="0" w:space="0" w:color="auto" w:frame="1"/>
            <w:lang w:eastAsia="de-AT"/>
            <w14:ligatures w14:val="none"/>
          </w:rPr>
          <w:t>12</w:t>
        </w:r>
      </w:hyperlink>
      <w:r w:rsidRPr="008E5AF1">
        <w:rPr>
          <w:rFonts w:ascii="Open Sans" w:eastAsia="Times New Roman" w:hAnsi="Open Sans" w:cs="Open Sans"/>
          <w:color w:val="555555"/>
          <w:kern w:val="0"/>
          <w:sz w:val="21"/>
          <w:szCs w:val="21"/>
          <w:bdr w:val="none" w:sz="0" w:space="0" w:color="auto" w:frame="1"/>
          <w:vertAlign w:val="superscript"/>
          <w:lang w:eastAsia="de-AT"/>
          <w14:ligatures w14:val="none"/>
        </w:rPr>
        <w:t>]</w:t>
      </w:r>
    </w:p>
    <w:p w14:paraId="4D03BA4F" w14:textId="77777777" w:rsidR="008E5AF1" w:rsidRPr="008E5AF1" w:rsidRDefault="008E5AF1" w:rsidP="008E5AF1">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8E5AF1">
        <w:rPr>
          <w:rFonts w:ascii="Open Sans" w:eastAsia="Times New Roman" w:hAnsi="Open Sans" w:cs="Open Sans"/>
          <w:color w:val="555555"/>
          <w:kern w:val="0"/>
          <w:sz w:val="30"/>
          <w:szCs w:val="30"/>
          <w:lang w:eastAsia="de-AT"/>
          <w14:ligatures w14:val="none"/>
        </w:rPr>
        <w:t xml:space="preserve">Bisher gibt es auch keine Hinweise auf Finanzierungsengpässe bei grünen Investitionsprojekten. Während herkömmliche Anleihen- und Aktienfonds im Jahr 2022 einen erheblichen Rückgang der Nettozuflüsse verzeichneten, galt dies nicht für Umwelt-, Sozial- und </w:t>
      </w:r>
      <w:proofErr w:type="spellStart"/>
      <w:r w:rsidRPr="008E5AF1">
        <w:rPr>
          <w:rFonts w:ascii="Open Sans" w:eastAsia="Times New Roman" w:hAnsi="Open Sans" w:cs="Open Sans"/>
          <w:color w:val="555555"/>
          <w:kern w:val="0"/>
          <w:sz w:val="30"/>
          <w:szCs w:val="30"/>
          <w:lang w:eastAsia="de-AT"/>
          <w14:ligatures w14:val="none"/>
        </w:rPr>
        <w:t>Governance</w:t>
      </w:r>
      <w:proofErr w:type="spellEnd"/>
      <w:r w:rsidRPr="008E5AF1">
        <w:rPr>
          <w:rFonts w:ascii="Open Sans" w:eastAsia="Times New Roman" w:hAnsi="Open Sans" w:cs="Open Sans"/>
          <w:color w:val="555555"/>
          <w:kern w:val="0"/>
          <w:sz w:val="30"/>
          <w:szCs w:val="30"/>
          <w:lang w:eastAsia="de-AT"/>
          <w14:ligatures w14:val="none"/>
        </w:rPr>
        <w:t>-Fonds (ESG) (Folie 4, linke Seite). ESG-Aktienfonds verzeichneten sogar nachhaltige Zuflüsse.</w:t>
      </w:r>
    </w:p>
    <w:p w14:paraId="230F4E27" w14:textId="77777777" w:rsidR="008E5AF1" w:rsidRPr="008E5AF1" w:rsidRDefault="008E5AF1" w:rsidP="008E5AF1">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8E5AF1">
        <w:rPr>
          <w:rFonts w:ascii="Open Sans" w:eastAsia="Times New Roman" w:hAnsi="Open Sans" w:cs="Open Sans"/>
          <w:color w:val="555555"/>
          <w:kern w:val="0"/>
          <w:sz w:val="30"/>
          <w:szCs w:val="30"/>
          <w:lang w:eastAsia="de-AT"/>
          <w14:ligatures w14:val="none"/>
        </w:rPr>
        <w:t xml:space="preserve">Eine solche Neuausrichtung des Portfolios hat grüne Investitionen aus </w:t>
      </w:r>
      <w:proofErr w:type="gramStart"/>
      <w:r w:rsidRPr="008E5AF1">
        <w:rPr>
          <w:rFonts w:ascii="Open Sans" w:eastAsia="Times New Roman" w:hAnsi="Open Sans" w:cs="Open Sans"/>
          <w:color w:val="555555"/>
          <w:kern w:val="0"/>
          <w:sz w:val="30"/>
          <w:szCs w:val="30"/>
          <w:lang w:eastAsia="de-AT"/>
          <w14:ligatures w14:val="none"/>
        </w:rPr>
        <w:t>Finanzierungssicht relativ</w:t>
      </w:r>
      <w:proofErr w:type="gramEnd"/>
      <w:r w:rsidRPr="008E5AF1">
        <w:rPr>
          <w:rFonts w:ascii="Open Sans" w:eastAsia="Times New Roman" w:hAnsi="Open Sans" w:cs="Open Sans"/>
          <w:color w:val="555555"/>
          <w:kern w:val="0"/>
          <w:sz w:val="30"/>
          <w:szCs w:val="30"/>
          <w:lang w:eastAsia="de-AT"/>
          <w14:ligatures w14:val="none"/>
        </w:rPr>
        <w:t xml:space="preserve"> attraktiver gemacht. Bei deutschen Staatsanleihen beispielsweise ist die Rendite eines Green Bonds im Vergleich zu einer konventionellen Anleihe mit ähnlichen Eigenschaften gesunken, was bedeutet, dass das „</w:t>
      </w:r>
      <w:proofErr w:type="spellStart"/>
      <w:r w:rsidRPr="008E5AF1">
        <w:rPr>
          <w:rFonts w:ascii="Open Sans" w:eastAsia="Times New Roman" w:hAnsi="Open Sans" w:cs="Open Sans"/>
          <w:color w:val="555555"/>
          <w:kern w:val="0"/>
          <w:sz w:val="30"/>
          <w:szCs w:val="30"/>
          <w:lang w:eastAsia="de-AT"/>
          <w14:ligatures w14:val="none"/>
        </w:rPr>
        <w:t>Greenium</w:t>
      </w:r>
      <w:proofErr w:type="spellEnd"/>
      <w:r w:rsidRPr="008E5AF1">
        <w:rPr>
          <w:rFonts w:ascii="Open Sans" w:eastAsia="Times New Roman" w:hAnsi="Open Sans" w:cs="Open Sans"/>
          <w:color w:val="555555"/>
          <w:kern w:val="0"/>
          <w:sz w:val="30"/>
          <w:szCs w:val="30"/>
          <w:lang w:eastAsia="de-AT"/>
          <w14:ligatures w14:val="none"/>
        </w:rPr>
        <w:t>“ in absoluten Zahlen Rekordwerte erreicht hat (Folie 4, rechts). Seite).</w:t>
      </w:r>
    </w:p>
    <w:p w14:paraId="1D3605C3" w14:textId="77777777" w:rsidR="008E5AF1" w:rsidRPr="008E5AF1" w:rsidRDefault="008E5AF1" w:rsidP="008E5AF1">
      <w:pPr>
        <w:spacing w:after="0" w:line="240" w:lineRule="auto"/>
        <w:textAlignment w:val="baseline"/>
        <w:rPr>
          <w:rFonts w:ascii="Open Sans" w:eastAsia="Times New Roman" w:hAnsi="Open Sans" w:cs="Open Sans"/>
          <w:color w:val="555555"/>
          <w:kern w:val="0"/>
          <w:sz w:val="30"/>
          <w:szCs w:val="30"/>
          <w:lang w:eastAsia="de-AT"/>
          <w14:ligatures w14:val="none"/>
        </w:rPr>
      </w:pPr>
      <w:r w:rsidRPr="008E5AF1">
        <w:rPr>
          <w:rFonts w:ascii="Open Sans" w:eastAsia="Times New Roman" w:hAnsi="Open Sans" w:cs="Open Sans"/>
          <w:color w:val="555555"/>
          <w:kern w:val="0"/>
          <w:sz w:val="30"/>
          <w:szCs w:val="30"/>
          <w:lang w:eastAsia="de-AT"/>
          <w14:ligatures w14:val="none"/>
        </w:rPr>
        <w:t xml:space="preserve">Aktuelle Untersuchungen warnen Unternehmen auch davor, den Übergang zu verzögern, wenn die Nominalzinsen steigen. Mitarbeiter der EZB dokumentieren einen positiven Zusammenhang zwischen den Treibhausgasemissionen, die aus </w:t>
      </w:r>
      <w:r w:rsidRPr="008E5AF1">
        <w:rPr>
          <w:rFonts w:ascii="Open Sans" w:eastAsia="Times New Roman" w:hAnsi="Open Sans" w:cs="Open Sans"/>
          <w:color w:val="555555"/>
          <w:kern w:val="0"/>
          <w:sz w:val="30"/>
          <w:szCs w:val="30"/>
          <w:lang w:eastAsia="de-AT"/>
          <w14:ligatures w14:val="none"/>
        </w:rPr>
        <w:lastRenderedPageBreak/>
        <w:t>der Geschäftstätigkeit eines Unternehmens resultieren, und den Kreditrisikoschätzungen.</w:t>
      </w:r>
      <w:r w:rsidRPr="008E5AF1">
        <w:rPr>
          <w:rFonts w:ascii="Open Sans" w:eastAsia="Times New Roman" w:hAnsi="Open Sans" w:cs="Open Sans"/>
          <w:color w:val="555555"/>
          <w:kern w:val="0"/>
          <w:sz w:val="21"/>
          <w:szCs w:val="21"/>
          <w:bdr w:val="none" w:sz="0" w:space="0" w:color="auto" w:frame="1"/>
          <w:vertAlign w:val="superscript"/>
          <w:lang w:eastAsia="de-AT"/>
          <w14:ligatures w14:val="none"/>
        </w:rPr>
        <w:t>[</w:t>
      </w:r>
      <w:hyperlink r:id="rId17" w:anchor="footnote.13" w:history="1">
        <w:r w:rsidRPr="008E5AF1">
          <w:rPr>
            <w:rFonts w:ascii="Open Sans" w:eastAsia="Times New Roman" w:hAnsi="Open Sans" w:cs="Open Sans"/>
            <w:color w:val="2B7AB6"/>
            <w:kern w:val="0"/>
            <w:sz w:val="21"/>
            <w:szCs w:val="21"/>
            <w:bdr w:val="none" w:sz="0" w:space="0" w:color="auto" w:frame="1"/>
            <w:lang w:eastAsia="de-AT"/>
            <w14:ligatures w14:val="none"/>
          </w:rPr>
          <w:t>13</w:t>
        </w:r>
      </w:hyperlink>
      <w:r w:rsidRPr="008E5AF1">
        <w:rPr>
          <w:rFonts w:ascii="Open Sans" w:eastAsia="Times New Roman" w:hAnsi="Open Sans" w:cs="Open Sans"/>
          <w:color w:val="555555"/>
          <w:kern w:val="0"/>
          <w:sz w:val="21"/>
          <w:szCs w:val="21"/>
          <w:bdr w:val="none" w:sz="0" w:space="0" w:color="auto" w:frame="1"/>
          <w:vertAlign w:val="superscript"/>
          <w:lang w:eastAsia="de-AT"/>
          <w14:ligatures w14:val="none"/>
        </w:rPr>
        <w:t>]</w:t>
      </w:r>
      <w:r w:rsidRPr="008E5AF1">
        <w:rPr>
          <w:rFonts w:ascii="Open Sans" w:eastAsia="Times New Roman" w:hAnsi="Open Sans" w:cs="Open Sans"/>
          <w:color w:val="555555"/>
          <w:kern w:val="0"/>
          <w:sz w:val="30"/>
          <w:szCs w:val="30"/>
          <w:lang w:eastAsia="de-AT"/>
          <w14:ligatures w14:val="none"/>
        </w:rPr>
        <w:t>Das bedeutet, dass Unternehmen, die ihren CO2-Fußabdruck nicht aktiv reduzieren, bei jedem risikofreien Zinssatz höhere Risikoprämien und damit höhere Kreditkosten zahlen müssen.</w:t>
      </w:r>
    </w:p>
    <w:p w14:paraId="3C87CA47" w14:textId="77777777" w:rsidR="008E5AF1" w:rsidRPr="008E5AF1" w:rsidRDefault="008E5AF1" w:rsidP="008E5AF1">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8E5AF1">
        <w:rPr>
          <w:rFonts w:ascii="Open Sans" w:eastAsia="Times New Roman" w:hAnsi="Open Sans" w:cs="Open Sans"/>
          <w:color w:val="555555"/>
          <w:kern w:val="0"/>
          <w:sz w:val="30"/>
          <w:szCs w:val="30"/>
          <w:lang w:eastAsia="de-AT"/>
          <w14:ligatures w14:val="none"/>
        </w:rPr>
        <w:t>All dies bedeutet, dass es irreführend wäre, strengere Finanzierungsbedingungen als Sündenbock für weitere Verzögerungen beim grünen Übergang zu nutzen. Durch die rechtzeitige Senkung der Inflation stellt die Geldpolitik die Bedingungen wieder her, die für das Gedeihen des grünen Übergangs erforderlich sind.</w:t>
      </w:r>
    </w:p>
    <w:p w14:paraId="4067E7B9" w14:textId="77777777" w:rsidR="008E5AF1" w:rsidRPr="008E5AF1" w:rsidRDefault="008E5AF1" w:rsidP="008E5AF1">
      <w:pPr>
        <w:spacing w:before="750" w:after="300" w:line="582" w:lineRule="atLeast"/>
        <w:textAlignment w:val="baseline"/>
        <w:outlineLvl w:val="1"/>
        <w:rPr>
          <w:rFonts w:ascii="inherit" w:eastAsia="Times New Roman" w:hAnsi="inherit" w:cs="Open Sans"/>
          <w:b/>
          <w:bCs/>
          <w:color w:val="003299"/>
          <w:kern w:val="0"/>
          <w:sz w:val="42"/>
          <w:szCs w:val="42"/>
          <w:lang w:eastAsia="de-AT"/>
          <w14:ligatures w14:val="none"/>
        </w:rPr>
      </w:pPr>
      <w:r w:rsidRPr="008E5AF1">
        <w:rPr>
          <w:rFonts w:ascii="inherit" w:eastAsia="Times New Roman" w:hAnsi="inherit" w:cs="Open Sans"/>
          <w:b/>
          <w:bCs/>
          <w:color w:val="003299"/>
          <w:kern w:val="0"/>
          <w:sz w:val="42"/>
          <w:szCs w:val="42"/>
          <w:lang w:eastAsia="de-AT"/>
          <w14:ligatures w14:val="none"/>
        </w:rPr>
        <w:t>Die Finanzpolitik muss den grünen Wandel beschleunigen</w:t>
      </w:r>
    </w:p>
    <w:p w14:paraId="6D318D8E" w14:textId="77777777" w:rsidR="008E5AF1" w:rsidRPr="008E5AF1" w:rsidRDefault="008E5AF1" w:rsidP="008E5AF1">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8E5AF1">
        <w:rPr>
          <w:rFonts w:ascii="Open Sans" w:eastAsia="Times New Roman" w:hAnsi="Open Sans" w:cs="Open Sans"/>
          <w:color w:val="555555"/>
          <w:kern w:val="0"/>
          <w:sz w:val="30"/>
          <w:szCs w:val="30"/>
          <w:lang w:eastAsia="de-AT"/>
          <w14:ligatures w14:val="none"/>
        </w:rPr>
        <w:t>In diesem Umfeld muss die Finanzpolitik weiterhin die treibende Kraft im Kampf gegen den Klimawandel bleiben. Bedauerlicherweise ist es vielen Regierungen nicht gelungen, die niedrigen Zinsen der letzten Jahre zu nutzen, um Investitionen in umweltfreundlichere und nachhaltigere Energieträger in einem Tempo zu beschleunigen, das den Herausforderungen, vor denen wir stehen, angemessen ist.</w:t>
      </w:r>
    </w:p>
    <w:p w14:paraId="21106943" w14:textId="77777777" w:rsidR="008E5AF1" w:rsidRPr="008E5AF1" w:rsidRDefault="008E5AF1" w:rsidP="008E5AF1">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8E5AF1">
        <w:rPr>
          <w:rFonts w:ascii="Open Sans" w:eastAsia="Times New Roman" w:hAnsi="Open Sans" w:cs="Open Sans"/>
          <w:color w:val="555555"/>
          <w:kern w:val="0"/>
          <w:sz w:val="30"/>
          <w:szCs w:val="30"/>
          <w:lang w:eastAsia="de-AT"/>
          <w14:ligatures w14:val="none"/>
        </w:rPr>
        <w:t>Das größte Hindernis für eine schnelle Dekarbonisierung sind daher nicht die Kapitalkosten, sondern der erhebliche Mangel an Fortschritten der Regierungen bei der Umsetzung früherer Klimaverpflichtungen.</w:t>
      </w:r>
    </w:p>
    <w:p w14:paraId="0DA2FFBE" w14:textId="77777777" w:rsidR="008E5AF1" w:rsidRPr="008E5AF1" w:rsidRDefault="008E5AF1" w:rsidP="008E5AF1">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8E5AF1">
        <w:rPr>
          <w:rFonts w:ascii="Open Sans" w:eastAsia="Times New Roman" w:hAnsi="Open Sans" w:cs="Open Sans"/>
          <w:color w:val="555555"/>
          <w:kern w:val="0"/>
          <w:sz w:val="30"/>
          <w:szCs w:val="30"/>
          <w:lang w:eastAsia="de-AT"/>
          <w14:ligatures w14:val="none"/>
        </w:rPr>
        <w:t xml:space="preserve">Die OECD beispielsweise schätzt, dass sich die weltweite fiskalische Unterstützung für die Produktion und den Verbrauch von Kohle, Öl und Gas im Jahr 2021 fast verdoppelt hat. Die Invasion Russlands in der Ukraine hat mit ziemlicher Sicherheit </w:t>
      </w:r>
      <w:r w:rsidRPr="008E5AF1">
        <w:rPr>
          <w:rFonts w:ascii="Open Sans" w:eastAsia="Times New Roman" w:hAnsi="Open Sans" w:cs="Open Sans"/>
          <w:color w:val="555555"/>
          <w:kern w:val="0"/>
          <w:sz w:val="30"/>
          <w:szCs w:val="30"/>
          <w:lang w:eastAsia="de-AT"/>
          <w14:ligatures w14:val="none"/>
        </w:rPr>
        <w:lastRenderedPageBreak/>
        <w:t>zu einem weiteren Anstieg ineffizienter Subventionen für fossile Brennstoffe zur kurzfristigen Energieversorgung geführt Sicherheit.</w:t>
      </w:r>
    </w:p>
    <w:p w14:paraId="4139CBAE" w14:textId="77777777" w:rsidR="008E5AF1" w:rsidRPr="008E5AF1" w:rsidRDefault="008E5AF1" w:rsidP="008E5AF1">
      <w:pPr>
        <w:spacing w:after="0" w:line="240" w:lineRule="auto"/>
        <w:textAlignment w:val="baseline"/>
        <w:rPr>
          <w:rFonts w:ascii="Open Sans" w:eastAsia="Times New Roman" w:hAnsi="Open Sans" w:cs="Open Sans"/>
          <w:color w:val="555555"/>
          <w:kern w:val="0"/>
          <w:sz w:val="30"/>
          <w:szCs w:val="30"/>
          <w:lang w:eastAsia="de-AT"/>
          <w14:ligatures w14:val="none"/>
        </w:rPr>
      </w:pPr>
      <w:r w:rsidRPr="008E5AF1">
        <w:rPr>
          <w:rFonts w:ascii="Open Sans" w:eastAsia="Times New Roman" w:hAnsi="Open Sans" w:cs="Open Sans"/>
          <w:color w:val="555555"/>
          <w:kern w:val="0"/>
          <w:sz w:val="30"/>
          <w:szCs w:val="30"/>
          <w:lang w:eastAsia="de-AT"/>
          <w14:ligatures w14:val="none"/>
        </w:rPr>
        <w:t>Regierungen müssen die Abhängigkeit von fossilen Brennstoffen so schnell wie möglich beenden. Sie sollten ihre Anstrengungen in einer Zeit verstärken, in der die durchschnittlichen Zinskosten – dank der langen Niedrigzinsphase und der Verlängerung der Anleihelaufzeiten – voraussichtlich noch einige Zeit unter den Wachstumsraten bleiben werden, und so ihre Förderfähigkeit unterstützen private und öffentliche Investitionen.</w:t>
      </w:r>
      <w:r w:rsidRPr="008E5AF1">
        <w:rPr>
          <w:rFonts w:ascii="Open Sans" w:eastAsia="Times New Roman" w:hAnsi="Open Sans" w:cs="Open Sans"/>
          <w:color w:val="555555"/>
          <w:kern w:val="0"/>
          <w:sz w:val="21"/>
          <w:szCs w:val="21"/>
          <w:bdr w:val="none" w:sz="0" w:space="0" w:color="auto" w:frame="1"/>
          <w:vertAlign w:val="superscript"/>
          <w:lang w:eastAsia="de-AT"/>
          <w14:ligatures w14:val="none"/>
        </w:rPr>
        <w:t>[</w:t>
      </w:r>
      <w:hyperlink r:id="rId18" w:anchor="footnote.14" w:history="1">
        <w:r w:rsidRPr="008E5AF1">
          <w:rPr>
            <w:rFonts w:ascii="Open Sans" w:eastAsia="Times New Roman" w:hAnsi="Open Sans" w:cs="Open Sans"/>
            <w:color w:val="2B7AB6"/>
            <w:kern w:val="0"/>
            <w:sz w:val="21"/>
            <w:szCs w:val="21"/>
            <w:bdr w:val="none" w:sz="0" w:space="0" w:color="auto" w:frame="1"/>
            <w:lang w:eastAsia="de-AT"/>
            <w14:ligatures w14:val="none"/>
          </w:rPr>
          <w:t>14</w:t>
        </w:r>
      </w:hyperlink>
      <w:r w:rsidRPr="008E5AF1">
        <w:rPr>
          <w:rFonts w:ascii="Open Sans" w:eastAsia="Times New Roman" w:hAnsi="Open Sans" w:cs="Open Sans"/>
          <w:color w:val="555555"/>
          <w:kern w:val="0"/>
          <w:sz w:val="21"/>
          <w:szCs w:val="21"/>
          <w:bdr w:val="none" w:sz="0" w:space="0" w:color="auto" w:frame="1"/>
          <w:vertAlign w:val="superscript"/>
          <w:lang w:eastAsia="de-AT"/>
          <w14:ligatures w14:val="none"/>
        </w:rPr>
        <w:t>]</w:t>
      </w:r>
    </w:p>
    <w:p w14:paraId="614799C4" w14:textId="77777777" w:rsidR="008E5AF1" w:rsidRPr="008E5AF1" w:rsidRDefault="008E5AF1" w:rsidP="008E5AF1">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8E5AF1">
        <w:rPr>
          <w:rFonts w:ascii="Open Sans" w:eastAsia="Times New Roman" w:hAnsi="Open Sans" w:cs="Open Sans"/>
          <w:color w:val="555555"/>
          <w:kern w:val="0"/>
          <w:sz w:val="30"/>
          <w:szCs w:val="30"/>
          <w:lang w:eastAsia="de-AT"/>
          <w14:ligatures w14:val="none"/>
        </w:rPr>
        <w:t>Tragfähige Förderprogramme für erneuerbare Energien und grüne Technologien, wie Erstausfallgarantien, Zinszuschüsse und staatlich geförderte Finanzierungsmöglichkeiten, sollten fortgeführt und wo möglich ausgebaut werden.</w:t>
      </w:r>
    </w:p>
    <w:p w14:paraId="12E2DFF4" w14:textId="77777777" w:rsidR="008E5AF1" w:rsidRPr="008E5AF1" w:rsidRDefault="008E5AF1" w:rsidP="008E5AF1">
      <w:pPr>
        <w:spacing w:after="0" w:line="240" w:lineRule="auto"/>
        <w:textAlignment w:val="baseline"/>
        <w:rPr>
          <w:rFonts w:ascii="Open Sans" w:eastAsia="Times New Roman" w:hAnsi="Open Sans" w:cs="Open Sans"/>
          <w:color w:val="555555"/>
          <w:kern w:val="0"/>
          <w:sz w:val="30"/>
          <w:szCs w:val="30"/>
          <w:lang w:eastAsia="de-AT"/>
          <w14:ligatures w14:val="none"/>
        </w:rPr>
      </w:pPr>
      <w:r w:rsidRPr="008E5AF1">
        <w:rPr>
          <w:rFonts w:ascii="Open Sans" w:eastAsia="Times New Roman" w:hAnsi="Open Sans" w:cs="Open Sans"/>
          <w:color w:val="555555"/>
          <w:kern w:val="0"/>
          <w:sz w:val="30"/>
          <w:szCs w:val="30"/>
          <w:lang w:eastAsia="de-AT"/>
          <w14:ligatures w14:val="none"/>
        </w:rPr>
        <w:t>Im Gegensatz zu ungezielten, breit angelegten Transfers und anreizverzerrenden Subventionen für fossile Brennstoffe sind solche Maßnahmen aus geldpolitischer Sicht zu begrüßen: Ihre positiven Auswirkungen auf die Produktionskapazität der Wirtschaft werden mittelfristig sowohl zur Wiederherstellung der Preisstabilität beitragen als auch die Schuldentragfähigkeit durch die Steigerung des Potenzials unterstützen Wachstum.</w:t>
      </w:r>
      <w:r w:rsidRPr="008E5AF1">
        <w:rPr>
          <w:rFonts w:ascii="Open Sans" w:eastAsia="Times New Roman" w:hAnsi="Open Sans" w:cs="Open Sans"/>
          <w:color w:val="555555"/>
          <w:kern w:val="0"/>
          <w:sz w:val="21"/>
          <w:szCs w:val="21"/>
          <w:bdr w:val="none" w:sz="0" w:space="0" w:color="auto" w:frame="1"/>
          <w:vertAlign w:val="superscript"/>
          <w:lang w:eastAsia="de-AT"/>
          <w14:ligatures w14:val="none"/>
        </w:rPr>
        <w:t>[</w:t>
      </w:r>
      <w:hyperlink r:id="rId19" w:anchor="footnote.15" w:history="1">
        <w:r w:rsidRPr="008E5AF1">
          <w:rPr>
            <w:rFonts w:ascii="Open Sans" w:eastAsia="Times New Roman" w:hAnsi="Open Sans" w:cs="Open Sans"/>
            <w:color w:val="2B7AB6"/>
            <w:kern w:val="0"/>
            <w:sz w:val="21"/>
            <w:szCs w:val="21"/>
            <w:bdr w:val="none" w:sz="0" w:space="0" w:color="auto" w:frame="1"/>
            <w:lang w:eastAsia="de-AT"/>
            <w14:ligatures w14:val="none"/>
          </w:rPr>
          <w:t>15</w:t>
        </w:r>
      </w:hyperlink>
      <w:r w:rsidRPr="008E5AF1">
        <w:rPr>
          <w:rFonts w:ascii="Open Sans" w:eastAsia="Times New Roman" w:hAnsi="Open Sans" w:cs="Open Sans"/>
          <w:color w:val="555555"/>
          <w:kern w:val="0"/>
          <w:sz w:val="21"/>
          <w:szCs w:val="21"/>
          <w:bdr w:val="none" w:sz="0" w:space="0" w:color="auto" w:frame="1"/>
          <w:vertAlign w:val="superscript"/>
          <w:lang w:eastAsia="de-AT"/>
          <w14:ligatures w14:val="none"/>
        </w:rPr>
        <w:t>]</w:t>
      </w:r>
    </w:p>
    <w:p w14:paraId="24B64EC3" w14:textId="77777777" w:rsidR="008E5AF1" w:rsidRPr="008E5AF1" w:rsidRDefault="008E5AF1" w:rsidP="008E5AF1">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8E5AF1">
        <w:rPr>
          <w:rFonts w:ascii="Open Sans" w:eastAsia="Times New Roman" w:hAnsi="Open Sans" w:cs="Open Sans"/>
          <w:color w:val="555555"/>
          <w:kern w:val="0"/>
          <w:sz w:val="30"/>
          <w:szCs w:val="30"/>
          <w:lang w:eastAsia="de-AT"/>
          <w14:ligatures w14:val="none"/>
        </w:rPr>
        <w:t>Mehrere bauliche Maßnahmen sind gleichermaßen wichtig.</w:t>
      </w:r>
    </w:p>
    <w:p w14:paraId="00F84E62" w14:textId="77777777" w:rsidR="008E5AF1" w:rsidRPr="008E5AF1" w:rsidRDefault="008E5AF1" w:rsidP="008E5AF1">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8E5AF1">
        <w:rPr>
          <w:rFonts w:ascii="Open Sans" w:eastAsia="Times New Roman" w:hAnsi="Open Sans" w:cs="Open Sans"/>
          <w:color w:val="555555"/>
          <w:kern w:val="0"/>
          <w:sz w:val="30"/>
          <w:szCs w:val="30"/>
          <w:lang w:eastAsia="de-AT"/>
          <w14:ligatures w14:val="none"/>
        </w:rPr>
        <w:t xml:space="preserve">Einer ist </w:t>
      </w:r>
      <w:proofErr w:type="spellStart"/>
      <w:r w:rsidRPr="008E5AF1">
        <w:rPr>
          <w:rFonts w:ascii="Open Sans" w:eastAsia="Times New Roman" w:hAnsi="Open Sans" w:cs="Open Sans"/>
          <w:color w:val="555555"/>
          <w:kern w:val="0"/>
          <w:sz w:val="30"/>
          <w:szCs w:val="30"/>
          <w:lang w:eastAsia="de-AT"/>
          <w14:ligatures w14:val="none"/>
        </w:rPr>
        <w:t>einumfassender</w:t>
      </w:r>
      <w:proofErr w:type="spellEnd"/>
      <w:r w:rsidRPr="008E5AF1">
        <w:rPr>
          <w:rFonts w:ascii="Open Sans" w:eastAsia="Times New Roman" w:hAnsi="Open Sans" w:cs="Open Sans"/>
          <w:color w:val="555555"/>
          <w:kern w:val="0"/>
          <w:sz w:val="30"/>
          <w:szCs w:val="30"/>
          <w:lang w:eastAsia="de-AT"/>
          <w14:ligatures w14:val="none"/>
        </w:rPr>
        <w:t xml:space="preserve"> Einsatz von CO2-Preisen, um die Substitution fossiler Brennstoffe voranzutreiben. Unter sonst gleichen Bedingungen erfordern höhere Stromgestehungskosten erneuerbarer Energien einen höheren CO2-Preis, um Anreize für die Dekarbonisierung aufrechtzuerhalten.</w:t>
      </w:r>
    </w:p>
    <w:p w14:paraId="50E3BA47" w14:textId="77777777" w:rsidR="008E5AF1" w:rsidRPr="008E5AF1" w:rsidRDefault="008E5AF1" w:rsidP="008E5AF1">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8E5AF1">
        <w:rPr>
          <w:rFonts w:ascii="Open Sans" w:eastAsia="Times New Roman" w:hAnsi="Open Sans" w:cs="Open Sans"/>
          <w:color w:val="555555"/>
          <w:kern w:val="0"/>
          <w:sz w:val="30"/>
          <w:szCs w:val="30"/>
          <w:lang w:eastAsia="de-AT"/>
          <w14:ligatures w14:val="none"/>
        </w:rPr>
        <w:lastRenderedPageBreak/>
        <w:t>Ein weiterer Bereich, in dem dringender Handlungsbedarf besteht, ist der Abbau von Bürokratie. Derzeit verhindern administrative Engpässe, dass der Ausbau erneuerbarer Energien in einem Tempo erfolgt, das mit der Erreichung der Klimaneutralität bis spätestens 2050 vereinbar ist.</w:t>
      </w:r>
    </w:p>
    <w:p w14:paraId="4B6E03DE" w14:textId="77777777" w:rsidR="008E5AF1" w:rsidRPr="008E5AF1" w:rsidRDefault="008E5AF1" w:rsidP="008E5AF1">
      <w:pPr>
        <w:spacing w:after="0" w:line="240" w:lineRule="auto"/>
        <w:textAlignment w:val="baseline"/>
        <w:rPr>
          <w:rFonts w:ascii="Open Sans" w:eastAsia="Times New Roman" w:hAnsi="Open Sans" w:cs="Open Sans"/>
          <w:color w:val="555555"/>
          <w:kern w:val="0"/>
          <w:sz w:val="30"/>
          <w:szCs w:val="30"/>
          <w:lang w:eastAsia="de-AT"/>
          <w14:ligatures w14:val="none"/>
        </w:rPr>
      </w:pPr>
      <w:r w:rsidRPr="008E5AF1">
        <w:rPr>
          <w:rFonts w:ascii="Open Sans" w:eastAsia="Times New Roman" w:hAnsi="Open Sans" w:cs="Open Sans"/>
          <w:color w:val="555555"/>
          <w:kern w:val="0"/>
          <w:sz w:val="30"/>
          <w:szCs w:val="30"/>
          <w:lang w:eastAsia="de-AT"/>
          <w14:ligatures w14:val="none"/>
        </w:rPr>
        <w:t xml:space="preserve">Schließlich sollten die Regierungen ihre Bemühungen zur Vertiefung der Kapitalmärkte und zur Schaffung einer grünen Kapitalmarktunion verstärken. Untersuchungen der EZB haben seit langem gezeigt, dass Aktienmärkte die Dekarbonisierung der Wirtschaft wirksamer unterstützen als </w:t>
      </w:r>
      <w:proofErr w:type="gramStart"/>
      <w:r w:rsidRPr="008E5AF1">
        <w:rPr>
          <w:rFonts w:ascii="Open Sans" w:eastAsia="Times New Roman" w:hAnsi="Open Sans" w:cs="Open Sans"/>
          <w:color w:val="555555"/>
          <w:kern w:val="0"/>
          <w:sz w:val="30"/>
          <w:szCs w:val="30"/>
          <w:lang w:eastAsia="de-AT"/>
          <w14:ligatures w14:val="none"/>
        </w:rPr>
        <w:t>Banken.</w:t>
      </w:r>
      <w:r w:rsidRPr="008E5AF1">
        <w:rPr>
          <w:rFonts w:ascii="Open Sans" w:eastAsia="Times New Roman" w:hAnsi="Open Sans" w:cs="Open Sans"/>
          <w:color w:val="555555"/>
          <w:kern w:val="0"/>
          <w:sz w:val="21"/>
          <w:szCs w:val="21"/>
          <w:bdr w:val="none" w:sz="0" w:space="0" w:color="auto" w:frame="1"/>
          <w:vertAlign w:val="superscript"/>
          <w:lang w:eastAsia="de-AT"/>
          <w14:ligatures w14:val="none"/>
        </w:rPr>
        <w:t>[</w:t>
      </w:r>
      <w:proofErr w:type="gramEnd"/>
      <w:r w:rsidRPr="008E5AF1">
        <w:rPr>
          <w:rFonts w:ascii="Open Sans" w:eastAsia="Times New Roman" w:hAnsi="Open Sans" w:cs="Open Sans"/>
          <w:color w:val="555555"/>
          <w:kern w:val="0"/>
          <w:sz w:val="21"/>
          <w:szCs w:val="21"/>
          <w:bdr w:val="none" w:sz="0" w:space="0" w:color="auto" w:frame="1"/>
          <w:vertAlign w:val="superscript"/>
          <w:lang w:eastAsia="de-AT"/>
          <w14:ligatures w14:val="none"/>
        </w:rPr>
        <w:fldChar w:fldCharType="begin"/>
      </w:r>
      <w:r w:rsidRPr="008E5AF1">
        <w:rPr>
          <w:rFonts w:ascii="Open Sans" w:eastAsia="Times New Roman" w:hAnsi="Open Sans" w:cs="Open Sans"/>
          <w:color w:val="555555"/>
          <w:kern w:val="0"/>
          <w:sz w:val="21"/>
          <w:szCs w:val="21"/>
          <w:bdr w:val="none" w:sz="0" w:space="0" w:color="auto" w:frame="1"/>
          <w:vertAlign w:val="superscript"/>
          <w:lang w:eastAsia="de-AT"/>
          <w14:ligatures w14:val="none"/>
        </w:rPr>
        <w:instrText>HYPERLINK "https://www.ecb.europa.eu/press/key/date/2023/html/ecb.sp230110~21c89bef1b.en.html" \l "footnote.16"</w:instrText>
      </w:r>
      <w:r w:rsidRPr="008E5AF1">
        <w:rPr>
          <w:rFonts w:ascii="Open Sans" w:eastAsia="Times New Roman" w:hAnsi="Open Sans" w:cs="Open Sans"/>
          <w:color w:val="555555"/>
          <w:kern w:val="0"/>
          <w:sz w:val="21"/>
          <w:szCs w:val="21"/>
          <w:bdr w:val="none" w:sz="0" w:space="0" w:color="auto" w:frame="1"/>
          <w:vertAlign w:val="superscript"/>
          <w:lang w:eastAsia="de-AT"/>
          <w14:ligatures w14:val="none"/>
        </w:rPr>
      </w:r>
      <w:r w:rsidRPr="008E5AF1">
        <w:rPr>
          <w:rFonts w:ascii="Open Sans" w:eastAsia="Times New Roman" w:hAnsi="Open Sans" w:cs="Open Sans"/>
          <w:color w:val="555555"/>
          <w:kern w:val="0"/>
          <w:sz w:val="21"/>
          <w:szCs w:val="21"/>
          <w:bdr w:val="none" w:sz="0" w:space="0" w:color="auto" w:frame="1"/>
          <w:vertAlign w:val="superscript"/>
          <w:lang w:eastAsia="de-AT"/>
          <w14:ligatures w14:val="none"/>
        </w:rPr>
        <w:fldChar w:fldCharType="separate"/>
      </w:r>
      <w:r w:rsidRPr="008E5AF1">
        <w:rPr>
          <w:rFonts w:ascii="Open Sans" w:eastAsia="Times New Roman" w:hAnsi="Open Sans" w:cs="Open Sans"/>
          <w:color w:val="2B7AB6"/>
          <w:kern w:val="0"/>
          <w:sz w:val="21"/>
          <w:szCs w:val="21"/>
          <w:bdr w:val="none" w:sz="0" w:space="0" w:color="auto" w:frame="1"/>
          <w:lang w:eastAsia="de-AT"/>
          <w14:ligatures w14:val="none"/>
        </w:rPr>
        <w:t>16</w:t>
      </w:r>
      <w:r w:rsidRPr="008E5AF1">
        <w:rPr>
          <w:rFonts w:ascii="Open Sans" w:eastAsia="Times New Roman" w:hAnsi="Open Sans" w:cs="Open Sans"/>
          <w:color w:val="555555"/>
          <w:kern w:val="0"/>
          <w:sz w:val="21"/>
          <w:szCs w:val="21"/>
          <w:bdr w:val="none" w:sz="0" w:space="0" w:color="auto" w:frame="1"/>
          <w:vertAlign w:val="superscript"/>
          <w:lang w:eastAsia="de-AT"/>
          <w14:ligatures w14:val="none"/>
        </w:rPr>
        <w:fldChar w:fldCharType="end"/>
      </w:r>
      <w:r w:rsidRPr="008E5AF1">
        <w:rPr>
          <w:rFonts w:ascii="Open Sans" w:eastAsia="Times New Roman" w:hAnsi="Open Sans" w:cs="Open Sans"/>
          <w:color w:val="555555"/>
          <w:kern w:val="0"/>
          <w:sz w:val="21"/>
          <w:szCs w:val="21"/>
          <w:bdr w:val="none" w:sz="0" w:space="0" w:color="auto" w:frame="1"/>
          <w:vertAlign w:val="superscript"/>
          <w:lang w:eastAsia="de-AT"/>
          <w14:ligatures w14:val="none"/>
        </w:rPr>
        <w:t>]</w:t>
      </w:r>
    </w:p>
    <w:p w14:paraId="56974B4A" w14:textId="77777777" w:rsidR="008E5AF1" w:rsidRPr="008E5AF1" w:rsidRDefault="008E5AF1" w:rsidP="008E5AF1">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8E5AF1">
        <w:rPr>
          <w:rFonts w:ascii="Open Sans" w:eastAsia="Times New Roman" w:hAnsi="Open Sans" w:cs="Open Sans"/>
          <w:color w:val="555555"/>
          <w:kern w:val="0"/>
          <w:sz w:val="30"/>
          <w:szCs w:val="30"/>
          <w:lang w:eastAsia="de-AT"/>
          <w14:ligatures w14:val="none"/>
        </w:rPr>
        <w:t>Dennoch bleiben die EU-Aktienmärkte fragmentiert und oft illiquide. Die Abhängigkeit von Bankkrediten in einer Zeit, in der die Bilanzen der Banken zunehmend eingeschränkt werden, schränkt die Möglichkeiten der Unternehmen, ihre grüne Agenda voranzutreiben, erheblich ein.</w:t>
      </w:r>
    </w:p>
    <w:p w14:paraId="05304874" w14:textId="77777777" w:rsidR="008E5AF1" w:rsidRPr="008E5AF1" w:rsidRDefault="008E5AF1" w:rsidP="008E5AF1">
      <w:pPr>
        <w:spacing w:after="0" w:line="240" w:lineRule="auto"/>
        <w:textAlignment w:val="baseline"/>
        <w:rPr>
          <w:rFonts w:ascii="Open Sans" w:eastAsia="Times New Roman" w:hAnsi="Open Sans" w:cs="Open Sans"/>
          <w:color w:val="555555"/>
          <w:kern w:val="0"/>
          <w:sz w:val="30"/>
          <w:szCs w:val="30"/>
          <w:lang w:eastAsia="de-AT"/>
          <w14:ligatures w14:val="none"/>
        </w:rPr>
      </w:pPr>
      <w:r w:rsidRPr="008E5AF1">
        <w:rPr>
          <w:rFonts w:ascii="Open Sans" w:eastAsia="Times New Roman" w:hAnsi="Open Sans" w:cs="Open Sans"/>
          <w:color w:val="555555"/>
          <w:kern w:val="0"/>
          <w:sz w:val="30"/>
          <w:szCs w:val="30"/>
          <w:lang w:eastAsia="de-AT"/>
          <w14:ligatures w14:val="none"/>
        </w:rPr>
        <w:t>Das jüngste Paket gesetzgeberischer Maßnahmen der Europäischen Kommission, darunter die vorgeschlagene Harmonisierung zentraler Aspekte des Unternehmensinsolvenzrechts und die Beseitigung bürokratischer Hürden für Unternehmen, die an öffentlichen Börsen notieren und Kapital beschaffen müssen, ist ein wichtiger Schritt in die richtige Richtung.</w:t>
      </w:r>
      <w:r w:rsidRPr="008E5AF1">
        <w:rPr>
          <w:rFonts w:ascii="Open Sans" w:eastAsia="Times New Roman" w:hAnsi="Open Sans" w:cs="Open Sans"/>
          <w:color w:val="555555"/>
          <w:kern w:val="0"/>
          <w:sz w:val="21"/>
          <w:szCs w:val="21"/>
          <w:bdr w:val="none" w:sz="0" w:space="0" w:color="auto" w:frame="1"/>
          <w:vertAlign w:val="superscript"/>
          <w:lang w:eastAsia="de-AT"/>
          <w14:ligatures w14:val="none"/>
        </w:rPr>
        <w:t>[</w:t>
      </w:r>
      <w:hyperlink r:id="rId20" w:anchor="footnote.17" w:history="1">
        <w:r w:rsidRPr="008E5AF1">
          <w:rPr>
            <w:rFonts w:ascii="Open Sans" w:eastAsia="Times New Roman" w:hAnsi="Open Sans" w:cs="Open Sans"/>
            <w:color w:val="2B7AB6"/>
            <w:kern w:val="0"/>
            <w:sz w:val="21"/>
            <w:szCs w:val="21"/>
            <w:bdr w:val="none" w:sz="0" w:space="0" w:color="auto" w:frame="1"/>
            <w:lang w:eastAsia="de-AT"/>
            <w14:ligatures w14:val="none"/>
          </w:rPr>
          <w:t>17</w:t>
        </w:r>
      </w:hyperlink>
      <w:r w:rsidRPr="008E5AF1">
        <w:rPr>
          <w:rFonts w:ascii="Open Sans" w:eastAsia="Times New Roman" w:hAnsi="Open Sans" w:cs="Open Sans"/>
          <w:color w:val="555555"/>
          <w:kern w:val="0"/>
          <w:sz w:val="21"/>
          <w:szCs w:val="21"/>
          <w:bdr w:val="none" w:sz="0" w:space="0" w:color="auto" w:frame="1"/>
          <w:vertAlign w:val="superscript"/>
          <w:lang w:eastAsia="de-AT"/>
          <w14:ligatures w14:val="none"/>
        </w:rPr>
        <w:t>]</w:t>
      </w:r>
    </w:p>
    <w:p w14:paraId="28583334" w14:textId="77777777" w:rsidR="008E5AF1" w:rsidRPr="008E5AF1" w:rsidRDefault="008E5AF1" w:rsidP="008E5AF1">
      <w:pPr>
        <w:spacing w:after="0" w:line="240" w:lineRule="auto"/>
        <w:textAlignment w:val="baseline"/>
        <w:rPr>
          <w:rFonts w:ascii="Open Sans" w:eastAsia="Times New Roman" w:hAnsi="Open Sans" w:cs="Open Sans"/>
          <w:color w:val="555555"/>
          <w:kern w:val="0"/>
          <w:sz w:val="30"/>
          <w:szCs w:val="30"/>
          <w:lang w:eastAsia="de-AT"/>
          <w14:ligatures w14:val="none"/>
        </w:rPr>
      </w:pPr>
      <w:r w:rsidRPr="008E5AF1">
        <w:rPr>
          <w:rFonts w:ascii="Open Sans" w:eastAsia="Times New Roman" w:hAnsi="Open Sans" w:cs="Open Sans"/>
          <w:color w:val="555555"/>
          <w:kern w:val="0"/>
          <w:sz w:val="30"/>
          <w:szCs w:val="30"/>
          <w:lang w:eastAsia="de-AT"/>
          <w14:ligatures w14:val="none"/>
        </w:rPr>
        <w:t xml:space="preserve">Es sind jedoch weitere entscheidende Schritte erforderlich, um die Gründung einer europäischen grünen Kapitalmarktunion </w:t>
      </w:r>
      <w:proofErr w:type="gramStart"/>
      <w:r w:rsidRPr="008E5AF1">
        <w:rPr>
          <w:rFonts w:ascii="Open Sans" w:eastAsia="Times New Roman" w:hAnsi="Open Sans" w:cs="Open Sans"/>
          <w:color w:val="555555"/>
          <w:kern w:val="0"/>
          <w:sz w:val="30"/>
          <w:szCs w:val="30"/>
          <w:lang w:eastAsia="de-AT"/>
          <w14:ligatures w14:val="none"/>
        </w:rPr>
        <w:t>voranzutreiben.</w:t>
      </w:r>
      <w:r w:rsidRPr="008E5AF1">
        <w:rPr>
          <w:rFonts w:ascii="Open Sans" w:eastAsia="Times New Roman" w:hAnsi="Open Sans" w:cs="Open Sans"/>
          <w:color w:val="555555"/>
          <w:kern w:val="0"/>
          <w:sz w:val="21"/>
          <w:szCs w:val="21"/>
          <w:bdr w:val="none" w:sz="0" w:space="0" w:color="auto" w:frame="1"/>
          <w:vertAlign w:val="superscript"/>
          <w:lang w:eastAsia="de-AT"/>
          <w14:ligatures w14:val="none"/>
        </w:rPr>
        <w:t>[</w:t>
      </w:r>
      <w:proofErr w:type="gramEnd"/>
      <w:r w:rsidRPr="008E5AF1">
        <w:rPr>
          <w:rFonts w:ascii="Open Sans" w:eastAsia="Times New Roman" w:hAnsi="Open Sans" w:cs="Open Sans"/>
          <w:color w:val="555555"/>
          <w:kern w:val="0"/>
          <w:sz w:val="21"/>
          <w:szCs w:val="21"/>
          <w:bdr w:val="none" w:sz="0" w:space="0" w:color="auto" w:frame="1"/>
          <w:vertAlign w:val="superscript"/>
          <w:lang w:eastAsia="de-AT"/>
          <w14:ligatures w14:val="none"/>
        </w:rPr>
        <w:fldChar w:fldCharType="begin"/>
      </w:r>
      <w:r w:rsidRPr="008E5AF1">
        <w:rPr>
          <w:rFonts w:ascii="Open Sans" w:eastAsia="Times New Roman" w:hAnsi="Open Sans" w:cs="Open Sans"/>
          <w:color w:val="555555"/>
          <w:kern w:val="0"/>
          <w:sz w:val="21"/>
          <w:szCs w:val="21"/>
          <w:bdr w:val="none" w:sz="0" w:space="0" w:color="auto" w:frame="1"/>
          <w:vertAlign w:val="superscript"/>
          <w:lang w:eastAsia="de-AT"/>
          <w14:ligatures w14:val="none"/>
        </w:rPr>
        <w:instrText>HYPERLINK "https://www.ecb.europa.eu/press/key/date/2023/html/ecb.sp230110~21c89bef1b.en.html" \l "footnote.18"</w:instrText>
      </w:r>
      <w:r w:rsidRPr="008E5AF1">
        <w:rPr>
          <w:rFonts w:ascii="Open Sans" w:eastAsia="Times New Roman" w:hAnsi="Open Sans" w:cs="Open Sans"/>
          <w:color w:val="555555"/>
          <w:kern w:val="0"/>
          <w:sz w:val="21"/>
          <w:szCs w:val="21"/>
          <w:bdr w:val="none" w:sz="0" w:space="0" w:color="auto" w:frame="1"/>
          <w:vertAlign w:val="superscript"/>
          <w:lang w:eastAsia="de-AT"/>
          <w14:ligatures w14:val="none"/>
        </w:rPr>
      </w:r>
      <w:r w:rsidRPr="008E5AF1">
        <w:rPr>
          <w:rFonts w:ascii="Open Sans" w:eastAsia="Times New Roman" w:hAnsi="Open Sans" w:cs="Open Sans"/>
          <w:color w:val="555555"/>
          <w:kern w:val="0"/>
          <w:sz w:val="21"/>
          <w:szCs w:val="21"/>
          <w:bdr w:val="none" w:sz="0" w:space="0" w:color="auto" w:frame="1"/>
          <w:vertAlign w:val="superscript"/>
          <w:lang w:eastAsia="de-AT"/>
          <w14:ligatures w14:val="none"/>
        </w:rPr>
        <w:fldChar w:fldCharType="separate"/>
      </w:r>
      <w:r w:rsidRPr="008E5AF1">
        <w:rPr>
          <w:rFonts w:ascii="Open Sans" w:eastAsia="Times New Roman" w:hAnsi="Open Sans" w:cs="Open Sans"/>
          <w:color w:val="2B7AB6"/>
          <w:kern w:val="0"/>
          <w:sz w:val="21"/>
          <w:szCs w:val="21"/>
          <w:bdr w:val="none" w:sz="0" w:space="0" w:color="auto" w:frame="1"/>
          <w:lang w:eastAsia="de-AT"/>
          <w14:ligatures w14:val="none"/>
        </w:rPr>
        <w:t>18</w:t>
      </w:r>
      <w:r w:rsidRPr="008E5AF1">
        <w:rPr>
          <w:rFonts w:ascii="Open Sans" w:eastAsia="Times New Roman" w:hAnsi="Open Sans" w:cs="Open Sans"/>
          <w:color w:val="555555"/>
          <w:kern w:val="0"/>
          <w:sz w:val="21"/>
          <w:szCs w:val="21"/>
          <w:bdr w:val="none" w:sz="0" w:space="0" w:color="auto" w:frame="1"/>
          <w:vertAlign w:val="superscript"/>
          <w:lang w:eastAsia="de-AT"/>
          <w14:ligatures w14:val="none"/>
        </w:rPr>
        <w:fldChar w:fldCharType="end"/>
      </w:r>
      <w:r w:rsidRPr="008E5AF1">
        <w:rPr>
          <w:rFonts w:ascii="Open Sans" w:eastAsia="Times New Roman" w:hAnsi="Open Sans" w:cs="Open Sans"/>
          <w:color w:val="555555"/>
          <w:kern w:val="0"/>
          <w:sz w:val="21"/>
          <w:szCs w:val="21"/>
          <w:bdr w:val="none" w:sz="0" w:space="0" w:color="auto" w:frame="1"/>
          <w:vertAlign w:val="superscript"/>
          <w:lang w:eastAsia="de-AT"/>
          <w14:ligatures w14:val="none"/>
        </w:rPr>
        <w:t>]</w:t>
      </w:r>
    </w:p>
    <w:p w14:paraId="5AB11A0C" w14:textId="77777777" w:rsidR="008E5AF1" w:rsidRPr="008E5AF1" w:rsidRDefault="008E5AF1" w:rsidP="008E5AF1">
      <w:pPr>
        <w:spacing w:before="750" w:after="300" w:line="582" w:lineRule="atLeast"/>
        <w:textAlignment w:val="baseline"/>
        <w:outlineLvl w:val="1"/>
        <w:rPr>
          <w:rFonts w:ascii="inherit" w:eastAsia="Times New Roman" w:hAnsi="inherit" w:cs="Open Sans"/>
          <w:b/>
          <w:bCs/>
          <w:color w:val="003299"/>
          <w:kern w:val="0"/>
          <w:sz w:val="42"/>
          <w:szCs w:val="42"/>
          <w:lang w:eastAsia="de-AT"/>
          <w14:ligatures w14:val="none"/>
        </w:rPr>
      </w:pPr>
      <w:r w:rsidRPr="008E5AF1">
        <w:rPr>
          <w:rFonts w:ascii="inherit" w:eastAsia="Times New Roman" w:hAnsi="inherit" w:cs="Open Sans"/>
          <w:b/>
          <w:bCs/>
          <w:color w:val="003299"/>
          <w:kern w:val="0"/>
          <w:sz w:val="42"/>
          <w:szCs w:val="42"/>
          <w:lang w:eastAsia="de-AT"/>
          <w14:ligatures w14:val="none"/>
        </w:rPr>
        <w:t>Die EZB muss ihre Bemühungen zur Unterstützung des grünen Wandels verstärken</w:t>
      </w:r>
    </w:p>
    <w:p w14:paraId="57411520" w14:textId="77777777" w:rsidR="008E5AF1" w:rsidRPr="008E5AF1" w:rsidRDefault="008E5AF1" w:rsidP="008E5AF1">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8E5AF1">
        <w:rPr>
          <w:rFonts w:ascii="Open Sans" w:eastAsia="Times New Roman" w:hAnsi="Open Sans" w:cs="Open Sans"/>
          <w:color w:val="555555"/>
          <w:kern w:val="0"/>
          <w:sz w:val="30"/>
          <w:szCs w:val="30"/>
          <w:lang w:eastAsia="de-AT"/>
          <w14:ligatures w14:val="none"/>
        </w:rPr>
        <w:lastRenderedPageBreak/>
        <w:t xml:space="preserve">Während die Regierungen ihre Bemühungen beschleunigen müssen, die Wirtschaft auf den Weg zu Netto-Null-Emissionen zu bringen, müssen die Zentralbanken aufgrund der drastischen Veränderung des makroökonomischen und finanziellen Umfelds im vergangenen Jahr auch Umfang und Umfang ihres eigenen Beitrags zum grünen Wandel </w:t>
      </w:r>
      <w:proofErr w:type="gramStart"/>
      <w:r w:rsidRPr="008E5AF1">
        <w:rPr>
          <w:rFonts w:ascii="Open Sans" w:eastAsia="Times New Roman" w:hAnsi="Open Sans" w:cs="Open Sans"/>
          <w:color w:val="555555"/>
          <w:kern w:val="0"/>
          <w:sz w:val="30"/>
          <w:szCs w:val="30"/>
          <w:lang w:eastAsia="de-AT"/>
          <w14:ligatures w14:val="none"/>
        </w:rPr>
        <w:t>überprüfen .</w:t>
      </w:r>
      <w:proofErr w:type="gramEnd"/>
    </w:p>
    <w:p w14:paraId="76D45380" w14:textId="77777777" w:rsidR="008E5AF1" w:rsidRPr="008E5AF1" w:rsidRDefault="008E5AF1" w:rsidP="008E5AF1">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8E5AF1">
        <w:rPr>
          <w:rFonts w:ascii="Open Sans" w:eastAsia="Times New Roman" w:hAnsi="Open Sans" w:cs="Open Sans"/>
          <w:color w:val="555555"/>
          <w:kern w:val="0"/>
          <w:sz w:val="30"/>
          <w:szCs w:val="30"/>
          <w:lang w:eastAsia="de-AT"/>
          <w14:ligatures w14:val="none"/>
        </w:rPr>
        <w:t>Unbeschadet des primären Mandats der EZB, Preisstabilität zu gewährleisten, sind wir verpflichtet, die allgemeine Wirtschaftspolitik der EU im Einklang mit unserem sekundären Ziel zu unterstützen. Wir müssen daher sicherstellen, dass alle Maßnahmen der EZB mit den Zielen des Pariser Abkommens in Einklang stehen, die globale Erwärmung auf deutlich unter 2 Grad Celsius zu begrenzen.</w:t>
      </w:r>
    </w:p>
    <w:p w14:paraId="4A943E66" w14:textId="77777777" w:rsidR="008E5AF1" w:rsidRPr="008E5AF1" w:rsidRDefault="008E5AF1" w:rsidP="008E5AF1">
      <w:pPr>
        <w:spacing w:before="750" w:after="300" w:line="485" w:lineRule="atLeast"/>
        <w:textAlignment w:val="baseline"/>
        <w:outlineLvl w:val="2"/>
        <w:rPr>
          <w:rFonts w:ascii="inherit" w:eastAsia="Times New Roman" w:hAnsi="inherit" w:cs="Open Sans"/>
          <w:b/>
          <w:bCs/>
          <w:color w:val="003299"/>
          <w:kern w:val="0"/>
          <w:sz w:val="36"/>
          <w:szCs w:val="36"/>
          <w:lang w:eastAsia="de-AT"/>
          <w14:ligatures w14:val="none"/>
        </w:rPr>
      </w:pPr>
      <w:r w:rsidRPr="008E5AF1">
        <w:rPr>
          <w:rFonts w:ascii="inherit" w:eastAsia="Times New Roman" w:hAnsi="inherit" w:cs="Open Sans"/>
          <w:b/>
          <w:bCs/>
          <w:color w:val="003299"/>
          <w:kern w:val="0"/>
          <w:sz w:val="36"/>
          <w:szCs w:val="36"/>
          <w:lang w:eastAsia="de-AT"/>
          <w14:ligatures w14:val="none"/>
        </w:rPr>
        <w:t>Klimaschutzmaßnahmen bleiben immer noch hinter den Pariser Zielen zurück</w:t>
      </w:r>
    </w:p>
    <w:p w14:paraId="342AB449" w14:textId="77777777" w:rsidR="008E5AF1" w:rsidRPr="008E5AF1" w:rsidRDefault="008E5AF1" w:rsidP="008E5AF1">
      <w:pPr>
        <w:spacing w:after="0" w:line="240" w:lineRule="auto"/>
        <w:textAlignment w:val="baseline"/>
        <w:rPr>
          <w:rFonts w:ascii="Open Sans" w:eastAsia="Times New Roman" w:hAnsi="Open Sans" w:cs="Open Sans"/>
          <w:color w:val="555555"/>
          <w:kern w:val="0"/>
          <w:sz w:val="30"/>
          <w:szCs w:val="30"/>
          <w:lang w:eastAsia="de-AT"/>
          <w14:ligatures w14:val="none"/>
        </w:rPr>
      </w:pPr>
      <w:r w:rsidRPr="008E5AF1">
        <w:rPr>
          <w:rFonts w:ascii="Open Sans" w:eastAsia="Times New Roman" w:hAnsi="Open Sans" w:cs="Open Sans"/>
          <w:color w:val="555555"/>
          <w:kern w:val="0"/>
          <w:sz w:val="30"/>
          <w:szCs w:val="30"/>
          <w:lang w:eastAsia="de-AT"/>
          <w14:ligatures w14:val="none"/>
        </w:rPr>
        <w:t xml:space="preserve">In den letzten Jahren haben wir uns auf den anspruchsvollen Weg begeben, unser geldpolitisches Rahmenwerk klimaverträglich zu machen. Im Jahr 2021 haben wir uns im Rahmen unseres ersten Aktionsplans zum Klimawandel für ein umfassendes und ehrgeiziges Maßnahmenpaket entschieden und mit der Umsetzung dieser Verpflichtungen </w:t>
      </w:r>
      <w:proofErr w:type="gramStart"/>
      <w:r w:rsidRPr="008E5AF1">
        <w:rPr>
          <w:rFonts w:ascii="Open Sans" w:eastAsia="Times New Roman" w:hAnsi="Open Sans" w:cs="Open Sans"/>
          <w:color w:val="555555"/>
          <w:kern w:val="0"/>
          <w:sz w:val="30"/>
          <w:szCs w:val="30"/>
          <w:lang w:eastAsia="de-AT"/>
          <w14:ligatures w14:val="none"/>
        </w:rPr>
        <w:t>begonnen.</w:t>
      </w:r>
      <w:r w:rsidRPr="008E5AF1">
        <w:rPr>
          <w:rFonts w:ascii="Open Sans" w:eastAsia="Times New Roman" w:hAnsi="Open Sans" w:cs="Open Sans"/>
          <w:color w:val="555555"/>
          <w:kern w:val="0"/>
          <w:sz w:val="21"/>
          <w:szCs w:val="21"/>
          <w:bdr w:val="none" w:sz="0" w:space="0" w:color="auto" w:frame="1"/>
          <w:vertAlign w:val="superscript"/>
          <w:lang w:eastAsia="de-AT"/>
          <w14:ligatures w14:val="none"/>
        </w:rPr>
        <w:t>[</w:t>
      </w:r>
      <w:proofErr w:type="gramEnd"/>
      <w:r w:rsidRPr="008E5AF1">
        <w:rPr>
          <w:rFonts w:ascii="Open Sans" w:eastAsia="Times New Roman" w:hAnsi="Open Sans" w:cs="Open Sans"/>
          <w:color w:val="555555"/>
          <w:kern w:val="0"/>
          <w:sz w:val="21"/>
          <w:szCs w:val="21"/>
          <w:bdr w:val="none" w:sz="0" w:space="0" w:color="auto" w:frame="1"/>
          <w:vertAlign w:val="superscript"/>
          <w:lang w:eastAsia="de-AT"/>
          <w14:ligatures w14:val="none"/>
        </w:rPr>
        <w:fldChar w:fldCharType="begin"/>
      </w:r>
      <w:r w:rsidRPr="008E5AF1">
        <w:rPr>
          <w:rFonts w:ascii="Open Sans" w:eastAsia="Times New Roman" w:hAnsi="Open Sans" w:cs="Open Sans"/>
          <w:color w:val="555555"/>
          <w:kern w:val="0"/>
          <w:sz w:val="21"/>
          <w:szCs w:val="21"/>
          <w:bdr w:val="none" w:sz="0" w:space="0" w:color="auto" w:frame="1"/>
          <w:vertAlign w:val="superscript"/>
          <w:lang w:eastAsia="de-AT"/>
          <w14:ligatures w14:val="none"/>
        </w:rPr>
        <w:instrText>HYPERLINK "https://www.ecb.europa.eu/press/key/date/2023/html/ecb.sp230110~21c89bef1b.en.html" \l "footnote.19"</w:instrText>
      </w:r>
      <w:r w:rsidRPr="008E5AF1">
        <w:rPr>
          <w:rFonts w:ascii="Open Sans" w:eastAsia="Times New Roman" w:hAnsi="Open Sans" w:cs="Open Sans"/>
          <w:color w:val="555555"/>
          <w:kern w:val="0"/>
          <w:sz w:val="21"/>
          <w:szCs w:val="21"/>
          <w:bdr w:val="none" w:sz="0" w:space="0" w:color="auto" w:frame="1"/>
          <w:vertAlign w:val="superscript"/>
          <w:lang w:eastAsia="de-AT"/>
          <w14:ligatures w14:val="none"/>
        </w:rPr>
      </w:r>
      <w:r w:rsidRPr="008E5AF1">
        <w:rPr>
          <w:rFonts w:ascii="Open Sans" w:eastAsia="Times New Roman" w:hAnsi="Open Sans" w:cs="Open Sans"/>
          <w:color w:val="555555"/>
          <w:kern w:val="0"/>
          <w:sz w:val="21"/>
          <w:szCs w:val="21"/>
          <w:bdr w:val="none" w:sz="0" w:space="0" w:color="auto" w:frame="1"/>
          <w:vertAlign w:val="superscript"/>
          <w:lang w:eastAsia="de-AT"/>
          <w14:ligatures w14:val="none"/>
        </w:rPr>
        <w:fldChar w:fldCharType="separate"/>
      </w:r>
      <w:r w:rsidRPr="008E5AF1">
        <w:rPr>
          <w:rFonts w:ascii="Open Sans" w:eastAsia="Times New Roman" w:hAnsi="Open Sans" w:cs="Open Sans"/>
          <w:color w:val="2B7AB6"/>
          <w:kern w:val="0"/>
          <w:sz w:val="21"/>
          <w:szCs w:val="21"/>
          <w:bdr w:val="none" w:sz="0" w:space="0" w:color="auto" w:frame="1"/>
          <w:lang w:eastAsia="de-AT"/>
          <w14:ligatures w14:val="none"/>
        </w:rPr>
        <w:t>19</w:t>
      </w:r>
      <w:r w:rsidRPr="008E5AF1">
        <w:rPr>
          <w:rFonts w:ascii="Open Sans" w:eastAsia="Times New Roman" w:hAnsi="Open Sans" w:cs="Open Sans"/>
          <w:color w:val="555555"/>
          <w:kern w:val="0"/>
          <w:sz w:val="21"/>
          <w:szCs w:val="21"/>
          <w:bdr w:val="none" w:sz="0" w:space="0" w:color="auto" w:frame="1"/>
          <w:vertAlign w:val="superscript"/>
          <w:lang w:eastAsia="de-AT"/>
          <w14:ligatures w14:val="none"/>
        </w:rPr>
        <w:fldChar w:fldCharType="end"/>
      </w:r>
      <w:r w:rsidRPr="008E5AF1">
        <w:rPr>
          <w:rFonts w:ascii="Open Sans" w:eastAsia="Times New Roman" w:hAnsi="Open Sans" w:cs="Open Sans"/>
          <w:color w:val="555555"/>
          <w:kern w:val="0"/>
          <w:sz w:val="21"/>
          <w:szCs w:val="21"/>
          <w:bdr w:val="none" w:sz="0" w:space="0" w:color="auto" w:frame="1"/>
          <w:vertAlign w:val="superscript"/>
          <w:lang w:eastAsia="de-AT"/>
          <w14:ligatures w14:val="none"/>
        </w:rPr>
        <w:t>]</w:t>
      </w:r>
    </w:p>
    <w:p w14:paraId="65531734" w14:textId="77777777" w:rsidR="008E5AF1" w:rsidRPr="008E5AF1" w:rsidRDefault="008E5AF1" w:rsidP="008E5AF1">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8E5AF1">
        <w:rPr>
          <w:rFonts w:ascii="Open Sans" w:eastAsia="Times New Roman" w:hAnsi="Open Sans" w:cs="Open Sans"/>
          <w:color w:val="555555"/>
          <w:kern w:val="0"/>
          <w:sz w:val="30"/>
          <w:szCs w:val="30"/>
          <w:lang w:eastAsia="de-AT"/>
          <w14:ligatures w14:val="none"/>
        </w:rPr>
        <w:t xml:space="preserve">Wir haben begonnen, Überlegungen zum Klimawandel in unsere makroökonomischen Modelle zu integrieren. Wir werden in Kürze neue experimentelle statistische Indikatoren zum Klimawandel veröffentlichen. Und wir werden uns zunehmend mit Klimarisiken in unseren Risikokontroll- und </w:t>
      </w:r>
      <w:proofErr w:type="spellStart"/>
      <w:r w:rsidRPr="008E5AF1">
        <w:rPr>
          <w:rFonts w:ascii="Open Sans" w:eastAsia="Times New Roman" w:hAnsi="Open Sans" w:cs="Open Sans"/>
          <w:color w:val="555555"/>
          <w:kern w:val="0"/>
          <w:sz w:val="30"/>
          <w:szCs w:val="30"/>
          <w:lang w:eastAsia="de-AT"/>
          <w14:ligatures w14:val="none"/>
        </w:rPr>
        <w:t>Sicherheitenrahmen</w:t>
      </w:r>
      <w:proofErr w:type="spellEnd"/>
      <w:r w:rsidRPr="008E5AF1">
        <w:rPr>
          <w:rFonts w:ascii="Open Sans" w:eastAsia="Times New Roman" w:hAnsi="Open Sans" w:cs="Open Sans"/>
          <w:color w:val="555555"/>
          <w:kern w:val="0"/>
          <w:sz w:val="30"/>
          <w:szCs w:val="30"/>
          <w:lang w:eastAsia="de-AT"/>
          <w14:ligatures w14:val="none"/>
        </w:rPr>
        <w:t xml:space="preserve"> befassen, unter anderem dadurch, dass wir irgendwann klimabezogene Unternehmensoffenlegungen verpflichtend vorschreiben, damit Anleihen weiterhin als Sicherheiten für unsere Refinanzierungsgeschäfte in Frage </w:t>
      </w:r>
      <w:r w:rsidRPr="008E5AF1">
        <w:rPr>
          <w:rFonts w:ascii="Open Sans" w:eastAsia="Times New Roman" w:hAnsi="Open Sans" w:cs="Open Sans"/>
          <w:color w:val="555555"/>
          <w:kern w:val="0"/>
          <w:sz w:val="30"/>
          <w:szCs w:val="30"/>
          <w:lang w:eastAsia="de-AT"/>
          <w14:ligatures w14:val="none"/>
        </w:rPr>
        <w:lastRenderedPageBreak/>
        <w:t>kommen. Das Eurosystem selbst wird gegen Ende des ersten Quartals dieses Jahres damit beginnen, die klimawandelbedingten Risiken von Teilen seiner eigenen Bilanz offenzulegen.</w:t>
      </w:r>
    </w:p>
    <w:p w14:paraId="3FAE190E" w14:textId="77777777" w:rsidR="008E5AF1" w:rsidRPr="008E5AF1" w:rsidRDefault="008E5AF1" w:rsidP="008E5AF1">
      <w:pPr>
        <w:spacing w:after="0" w:line="240" w:lineRule="auto"/>
        <w:textAlignment w:val="baseline"/>
        <w:rPr>
          <w:rFonts w:ascii="Open Sans" w:eastAsia="Times New Roman" w:hAnsi="Open Sans" w:cs="Open Sans"/>
          <w:color w:val="555555"/>
          <w:kern w:val="0"/>
          <w:sz w:val="30"/>
          <w:szCs w:val="30"/>
          <w:lang w:eastAsia="de-AT"/>
          <w14:ligatures w14:val="none"/>
        </w:rPr>
      </w:pPr>
      <w:r w:rsidRPr="008E5AF1">
        <w:rPr>
          <w:rFonts w:ascii="Open Sans" w:eastAsia="Times New Roman" w:hAnsi="Open Sans" w:cs="Open Sans"/>
          <w:color w:val="555555"/>
          <w:kern w:val="0"/>
          <w:sz w:val="30"/>
          <w:szCs w:val="30"/>
          <w:lang w:eastAsia="de-AT"/>
          <w14:ligatures w14:val="none"/>
        </w:rPr>
        <w:t xml:space="preserve">Darüber hinaus richten wir unser </w:t>
      </w:r>
      <w:proofErr w:type="spellStart"/>
      <w:r w:rsidRPr="008E5AF1">
        <w:rPr>
          <w:rFonts w:ascii="Open Sans" w:eastAsia="Times New Roman" w:hAnsi="Open Sans" w:cs="Open Sans"/>
          <w:color w:val="555555"/>
          <w:kern w:val="0"/>
          <w:sz w:val="30"/>
          <w:szCs w:val="30"/>
          <w:lang w:eastAsia="de-AT"/>
          <w14:ligatures w14:val="none"/>
        </w:rPr>
        <w:t>Unternehmensanleihenportfolio</w:t>
      </w:r>
      <w:proofErr w:type="spellEnd"/>
      <w:r w:rsidRPr="008E5AF1">
        <w:rPr>
          <w:rFonts w:ascii="Open Sans" w:eastAsia="Times New Roman" w:hAnsi="Open Sans" w:cs="Open Sans"/>
          <w:color w:val="555555"/>
          <w:kern w:val="0"/>
          <w:sz w:val="30"/>
          <w:szCs w:val="30"/>
          <w:lang w:eastAsia="de-AT"/>
          <w14:ligatures w14:val="none"/>
        </w:rPr>
        <w:t xml:space="preserve"> nun auf Emittenten mit besseren Klimaergebnissen aus, um die bestehende Tendenz hin zu emissionsintensiven Unternehmen zu </w:t>
      </w:r>
      <w:proofErr w:type="gramStart"/>
      <w:r w:rsidRPr="008E5AF1">
        <w:rPr>
          <w:rFonts w:ascii="Open Sans" w:eastAsia="Times New Roman" w:hAnsi="Open Sans" w:cs="Open Sans"/>
          <w:color w:val="555555"/>
          <w:kern w:val="0"/>
          <w:sz w:val="30"/>
          <w:szCs w:val="30"/>
          <w:lang w:eastAsia="de-AT"/>
          <w14:ligatures w14:val="none"/>
        </w:rPr>
        <w:t>beseitigen.</w:t>
      </w:r>
      <w:r w:rsidRPr="008E5AF1">
        <w:rPr>
          <w:rFonts w:ascii="Open Sans" w:eastAsia="Times New Roman" w:hAnsi="Open Sans" w:cs="Open Sans"/>
          <w:color w:val="555555"/>
          <w:kern w:val="0"/>
          <w:sz w:val="21"/>
          <w:szCs w:val="21"/>
          <w:bdr w:val="none" w:sz="0" w:space="0" w:color="auto" w:frame="1"/>
          <w:vertAlign w:val="superscript"/>
          <w:lang w:eastAsia="de-AT"/>
          <w14:ligatures w14:val="none"/>
        </w:rPr>
        <w:t>[</w:t>
      </w:r>
      <w:proofErr w:type="gramEnd"/>
      <w:r w:rsidRPr="008E5AF1">
        <w:rPr>
          <w:rFonts w:ascii="Open Sans" w:eastAsia="Times New Roman" w:hAnsi="Open Sans" w:cs="Open Sans"/>
          <w:color w:val="555555"/>
          <w:kern w:val="0"/>
          <w:sz w:val="21"/>
          <w:szCs w:val="21"/>
          <w:bdr w:val="none" w:sz="0" w:space="0" w:color="auto" w:frame="1"/>
          <w:vertAlign w:val="superscript"/>
          <w:lang w:eastAsia="de-AT"/>
          <w14:ligatures w14:val="none"/>
        </w:rPr>
        <w:fldChar w:fldCharType="begin"/>
      </w:r>
      <w:r w:rsidRPr="008E5AF1">
        <w:rPr>
          <w:rFonts w:ascii="Open Sans" w:eastAsia="Times New Roman" w:hAnsi="Open Sans" w:cs="Open Sans"/>
          <w:color w:val="555555"/>
          <w:kern w:val="0"/>
          <w:sz w:val="21"/>
          <w:szCs w:val="21"/>
          <w:bdr w:val="none" w:sz="0" w:space="0" w:color="auto" w:frame="1"/>
          <w:vertAlign w:val="superscript"/>
          <w:lang w:eastAsia="de-AT"/>
          <w14:ligatures w14:val="none"/>
        </w:rPr>
        <w:instrText>HYPERLINK "https://www.ecb.europa.eu/press/key/date/2023/html/ecb.sp230110~21c89bef1b.en.html" \l "footnote.20"</w:instrText>
      </w:r>
      <w:r w:rsidRPr="008E5AF1">
        <w:rPr>
          <w:rFonts w:ascii="Open Sans" w:eastAsia="Times New Roman" w:hAnsi="Open Sans" w:cs="Open Sans"/>
          <w:color w:val="555555"/>
          <w:kern w:val="0"/>
          <w:sz w:val="21"/>
          <w:szCs w:val="21"/>
          <w:bdr w:val="none" w:sz="0" w:space="0" w:color="auto" w:frame="1"/>
          <w:vertAlign w:val="superscript"/>
          <w:lang w:eastAsia="de-AT"/>
          <w14:ligatures w14:val="none"/>
        </w:rPr>
      </w:r>
      <w:r w:rsidRPr="008E5AF1">
        <w:rPr>
          <w:rFonts w:ascii="Open Sans" w:eastAsia="Times New Roman" w:hAnsi="Open Sans" w:cs="Open Sans"/>
          <w:color w:val="555555"/>
          <w:kern w:val="0"/>
          <w:sz w:val="21"/>
          <w:szCs w:val="21"/>
          <w:bdr w:val="none" w:sz="0" w:space="0" w:color="auto" w:frame="1"/>
          <w:vertAlign w:val="superscript"/>
          <w:lang w:eastAsia="de-AT"/>
          <w14:ligatures w14:val="none"/>
        </w:rPr>
        <w:fldChar w:fldCharType="separate"/>
      </w:r>
      <w:r w:rsidRPr="008E5AF1">
        <w:rPr>
          <w:rFonts w:ascii="Open Sans" w:eastAsia="Times New Roman" w:hAnsi="Open Sans" w:cs="Open Sans"/>
          <w:color w:val="2B7AB6"/>
          <w:kern w:val="0"/>
          <w:sz w:val="21"/>
          <w:szCs w:val="21"/>
          <w:bdr w:val="none" w:sz="0" w:space="0" w:color="auto" w:frame="1"/>
          <w:lang w:eastAsia="de-AT"/>
          <w14:ligatures w14:val="none"/>
        </w:rPr>
        <w:t>20</w:t>
      </w:r>
      <w:r w:rsidRPr="008E5AF1">
        <w:rPr>
          <w:rFonts w:ascii="Open Sans" w:eastAsia="Times New Roman" w:hAnsi="Open Sans" w:cs="Open Sans"/>
          <w:color w:val="555555"/>
          <w:kern w:val="0"/>
          <w:sz w:val="21"/>
          <w:szCs w:val="21"/>
          <w:bdr w:val="none" w:sz="0" w:space="0" w:color="auto" w:frame="1"/>
          <w:vertAlign w:val="superscript"/>
          <w:lang w:eastAsia="de-AT"/>
          <w14:ligatures w14:val="none"/>
        </w:rPr>
        <w:fldChar w:fldCharType="end"/>
      </w:r>
      <w:r w:rsidRPr="008E5AF1">
        <w:rPr>
          <w:rFonts w:ascii="Open Sans" w:eastAsia="Times New Roman" w:hAnsi="Open Sans" w:cs="Open Sans"/>
          <w:color w:val="555555"/>
          <w:kern w:val="0"/>
          <w:sz w:val="21"/>
          <w:szCs w:val="21"/>
          <w:bdr w:val="none" w:sz="0" w:space="0" w:color="auto" w:frame="1"/>
          <w:vertAlign w:val="superscript"/>
          <w:lang w:eastAsia="de-AT"/>
          <w14:ligatures w14:val="none"/>
        </w:rPr>
        <w:t>]</w:t>
      </w:r>
    </w:p>
    <w:p w14:paraId="15040EE5" w14:textId="77777777" w:rsidR="008E5AF1" w:rsidRPr="008E5AF1" w:rsidRDefault="008E5AF1" w:rsidP="008E5AF1">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8E5AF1">
        <w:rPr>
          <w:rFonts w:ascii="Open Sans" w:eastAsia="Times New Roman" w:hAnsi="Open Sans" w:cs="Open Sans"/>
          <w:color w:val="555555"/>
          <w:kern w:val="0"/>
          <w:sz w:val="30"/>
          <w:szCs w:val="30"/>
          <w:lang w:eastAsia="de-AT"/>
          <w14:ligatures w14:val="none"/>
        </w:rPr>
        <w:t xml:space="preserve">Obwohl unsere derzeitigen Maßnahmen im Zusammenhang mit dem Klimawandel ehrgeizig sind, bleiben sie dennoch hinter den Pariser Zielen zurück, da sie nicht ausreichen, um einen </w:t>
      </w:r>
      <w:proofErr w:type="spellStart"/>
      <w:r w:rsidRPr="008E5AF1">
        <w:rPr>
          <w:rFonts w:ascii="Open Sans" w:eastAsia="Times New Roman" w:hAnsi="Open Sans" w:cs="Open Sans"/>
          <w:color w:val="555555"/>
          <w:kern w:val="0"/>
          <w:sz w:val="30"/>
          <w:szCs w:val="30"/>
          <w:lang w:eastAsia="de-AT"/>
          <w14:ligatures w14:val="none"/>
        </w:rPr>
        <w:t>Dekarbonisierungspfad</w:t>
      </w:r>
      <w:proofErr w:type="spellEnd"/>
      <w:r w:rsidRPr="008E5AF1">
        <w:rPr>
          <w:rFonts w:ascii="Open Sans" w:eastAsia="Times New Roman" w:hAnsi="Open Sans" w:cs="Open Sans"/>
          <w:color w:val="555555"/>
          <w:kern w:val="0"/>
          <w:sz w:val="30"/>
          <w:szCs w:val="30"/>
          <w:lang w:eastAsia="de-AT"/>
          <w14:ligatures w14:val="none"/>
        </w:rPr>
        <w:t xml:space="preserve"> sicherzustellen, der mit der CO2-Neutralität unserer Geschäftstätigkeit bis 2050 vereinbar ist.</w:t>
      </w:r>
    </w:p>
    <w:p w14:paraId="57BC34BE" w14:textId="77777777" w:rsidR="008E5AF1" w:rsidRPr="008E5AF1" w:rsidRDefault="008E5AF1" w:rsidP="008E5AF1">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8E5AF1">
        <w:rPr>
          <w:rFonts w:ascii="Open Sans" w:eastAsia="Times New Roman" w:hAnsi="Open Sans" w:cs="Open Sans"/>
          <w:color w:val="555555"/>
          <w:kern w:val="0"/>
          <w:sz w:val="30"/>
          <w:szCs w:val="30"/>
          <w:lang w:eastAsia="de-AT"/>
          <w14:ligatures w14:val="none"/>
        </w:rPr>
        <w:t>Insbesondere drei Bereiche erfordern zusätzliche Anstrengungen.</w:t>
      </w:r>
    </w:p>
    <w:p w14:paraId="6A4036C9" w14:textId="77777777" w:rsidR="008E5AF1" w:rsidRPr="008E5AF1" w:rsidRDefault="008E5AF1" w:rsidP="008E5AF1">
      <w:pPr>
        <w:spacing w:before="750" w:after="300" w:line="485" w:lineRule="atLeast"/>
        <w:textAlignment w:val="baseline"/>
        <w:outlineLvl w:val="2"/>
        <w:rPr>
          <w:rFonts w:ascii="inherit" w:eastAsia="Times New Roman" w:hAnsi="inherit" w:cs="Open Sans"/>
          <w:b/>
          <w:bCs/>
          <w:color w:val="003299"/>
          <w:kern w:val="0"/>
          <w:sz w:val="36"/>
          <w:szCs w:val="36"/>
          <w:lang w:eastAsia="de-AT"/>
          <w14:ligatures w14:val="none"/>
        </w:rPr>
      </w:pPr>
      <w:r w:rsidRPr="008E5AF1">
        <w:rPr>
          <w:rFonts w:ascii="inherit" w:eastAsia="Times New Roman" w:hAnsi="inherit" w:cs="Open Sans"/>
          <w:b/>
          <w:bCs/>
          <w:color w:val="003299"/>
          <w:kern w:val="0"/>
          <w:sz w:val="36"/>
          <w:szCs w:val="36"/>
          <w:lang w:eastAsia="de-AT"/>
          <w14:ligatures w14:val="none"/>
        </w:rPr>
        <w:t>Ökologisierung des Bestands an Unternehmensanleihen</w:t>
      </w:r>
    </w:p>
    <w:p w14:paraId="3C82AE16" w14:textId="77777777" w:rsidR="008E5AF1" w:rsidRPr="008E5AF1" w:rsidRDefault="008E5AF1" w:rsidP="008E5AF1">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8E5AF1">
        <w:rPr>
          <w:rFonts w:ascii="Open Sans" w:eastAsia="Times New Roman" w:hAnsi="Open Sans" w:cs="Open Sans"/>
          <w:color w:val="555555"/>
          <w:kern w:val="0"/>
          <w:sz w:val="30"/>
          <w:szCs w:val="30"/>
          <w:lang w:eastAsia="de-AT"/>
          <w14:ligatures w14:val="none"/>
        </w:rPr>
        <w:t>Erstens wird der anhaltende Rückgang unserer Bilanz die Wirkung einiger unserer künftigen Maßnahmen deutlich verringern.</w:t>
      </w:r>
    </w:p>
    <w:p w14:paraId="7C5D5F80" w14:textId="77777777" w:rsidR="008E5AF1" w:rsidRPr="008E5AF1" w:rsidRDefault="008E5AF1" w:rsidP="008E5AF1">
      <w:pPr>
        <w:spacing w:after="0" w:line="240" w:lineRule="auto"/>
        <w:textAlignment w:val="baseline"/>
        <w:rPr>
          <w:rFonts w:ascii="Open Sans" w:eastAsia="Times New Roman" w:hAnsi="Open Sans" w:cs="Open Sans"/>
          <w:color w:val="555555"/>
          <w:kern w:val="0"/>
          <w:sz w:val="30"/>
          <w:szCs w:val="30"/>
          <w:lang w:eastAsia="de-AT"/>
          <w14:ligatures w14:val="none"/>
        </w:rPr>
      </w:pPr>
      <w:r w:rsidRPr="008E5AF1">
        <w:rPr>
          <w:rFonts w:ascii="Open Sans" w:eastAsia="Times New Roman" w:hAnsi="Open Sans" w:cs="Open Sans"/>
          <w:color w:val="555555"/>
          <w:kern w:val="0"/>
          <w:sz w:val="30"/>
          <w:szCs w:val="30"/>
          <w:lang w:eastAsia="de-AT"/>
          <w14:ligatures w14:val="none"/>
        </w:rPr>
        <w:t xml:space="preserve">Beispielsweise verfolgen wir für unser </w:t>
      </w:r>
      <w:proofErr w:type="spellStart"/>
      <w:r w:rsidRPr="008E5AF1">
        <w:rPr>
          <w:rFonts w:ascii="Open Sans" w:eastAsia="Times New Roman" w:hAnsi="Open Sans" w:cs="Open Sans"/>
          <w:color w:val="555555"/>
          <w:kern w:val="0"/>
          <w:sz w:val="30"/>
          <w:szCs w:val="30"/>
          <w:lang w:eastAsia="de-AT"/>
          <w14:ligatures w14:val="none"/>
        </w:rPr>
        <w:t>Unternehmensanleihenportfolio</w:t>
      </w:r>
      <w:proofErr w:type="spellEnd"/>
      <w:r w:rsidRPr="008E5AF1">
        <w:rPr>
          <w:rFonts w:ascii="Open Sans" w:eastAsia="Times New Roman" w:hAnsi="Open Sans" w:cs="Open Sans"/>
          <w:color w:val="555555"/>
          <w:kern w:val="0"/>
          <w:sz w:val="30"/>
          <w:szCs w:val="30"/>
          <w:lang w:eastAsia="de-AT"/>
          <w14:ligatures w14:val="none"/>
        </w:rPr>
        <w:t xml:space="preserve"> einen </w:t>
      </w:r>
      <w:r w:rsidRPr="008E5AF1">
        <w:rPr>
          <w:rFonts w:ascii="inherit" w:eastAsia="Times New Roman" w:hAnsi="inherit" w:cs="Open Sans"/>
          <w:i/>
          <w:iCs/>
          <w:color w:val="555555"/>
          <w:kern w:val="0"/>
          <w:sz w:val="30"/>
          <w:szCs w:val="30"/>
          <w:bdr w:val="none" w:sz="0" w:space="0" w:color="auto" w:frame="1"/>
          <w:lang w:eastAsia="de-AT"/>
          <w14:ligatures w14:val="none"/>
        </w:rPr>
        <w:t>Flow-basierten</w:t>
      </w:r>
      <w:r w:rsidRPr="008E5AF1">
        <w:rPr>
          <w:rFonts w:ascii="Open Sans" w:eastAsia="Times New Roman" w:hAnsi="Open Sans" w:cs="Open Sans"/>
          <w:color w:val="555555"/>
          <w:kern w:val="0"/>
          <w:sz w:val="30"/>
          <w:szCs w:val="30"/>
          <w:lang w:eastAsia="de-AT"/>
          <w14:ligatures w14:val="none"/>
        </w:rPr>
        <w:t> </w:t>
      </w:r>
      <w:proofErr w:type="spellStart"/>
      <w:r w:rsidRPr="008E5AF1">
        <w:rPr>
          <w:rFonts w:ascii="Open Sans" w:eastAsia="Times New Roman" w:hAnsi="Open Sans" w:cs="Open Sans"/>
          <w:color w:val="555555"/>
          <w:kern w:val="0"/>
          <w:sz w:val="30"/>
          <w:szCs w:val="30"/>
          <w:lang w:eastAsia="de-AT"/>
          <w14:ligatures w14:val="none"/>
        </w:rPr>
        <w:t>Tilting</w:t>
      </w:r>
      <w:proofErr w:type="spellEnd"/>
      <w:r w:rsidRPr="008E5AF1">
        <w:rPr>
          <w:rFonts w:ascii="Open Sans" w:eastAsia="Times New Roman" w:hAnsi="Open Sans" w:cs="Open Sans"/>
          <w:color w:val="555555"/>
          <w:kern w:val="0"/>
          <w:sz w:val="30"/>
          <w:szCs w:val="30"/>
          <w:lang w:eastAsia="de-AT"/>
          <w14:ligatures w14:val="none"/>
        </w:rPr>
        <w:t xml:space="preserve">-Ansatz, bei dem wir unsere Reinvestitionen von Unternehmensanleihen auf der Grundlage eines </w:t>
      </w:r>
      <w:proofErr w:type="spellStart"/>
      <w:r w:rsidRPr="008E5AF1">
        <w:rPr>
          <w:rFonts w:ascii="Open Sans" w:eastAsia="Times New Roman" w:hAnsi="Open Sans" w:cs="Open Sans"/>
          <w:color w:val="555555"/>
          <w:kern w:val="0"/>
          <w:sz w:val="30"/>
          <w:szCs w:val="30"/>
          <w:lang w:eastAsia="de-AT"/>
          <w14:ligatures w14:val="none"/>
        </w:rPr>
        <w:t>Klimascores</w:t>
      </w:r>
      <w:proofErr w:type="spellEnd"/>
      <w:r w:rsidRPr="008E5AF1">
        <w:rPr>
          <w:rFonts w:ascii="Open Sans" w:eastAsia="Times New Roman" w:hAnsi="Open Sans" w:cs="Open Sans"/>
          <w:color w:val="555555"/>
          <w:kern w:val="0"/>
          <w:sz w:val="30"/>
          <w:szCs w:val="30"/>
          <w:lang w:eastAsia="de-AT"/>
          <w14:ligatures w14:val="none"/>
        </w:rPr>
        <w:t xml:space="preserve"> anpassen, der die Kohlenstoffintensität der Emittenten, ihre </w:t>
      </w:r>
      <w:proofErr w:type="spellStart"/>
      <w:r w:rsidRPr="008E5AF1">
        <w:rPr>
          <w:rFonts w:ascii="Open Sans" w:eastAsia="Times New Roman" w:hAnsi="Open Sans" w:cs="Open Sans"/>
          <w:color w:val="555555"/>
          <w:kern w:val="0"/>
          <w:sz w:val="30"/>
          <w:szCs w:val="30"/>
          <w:lang w:eastAsia="de-AT"/>
          <w14:ligatures w14:val="none"/>
        </w:rPr>
        <w:t>Dekarbonisierungspläne</w:t>
      </w:r>
      <w:proofErr w:type="spellEnd"/>
      <w:r w:rsidRPr="008E5AF1">
        <w:rPr>
          <w:rFonts w:ascii="Open Sans" w:eastAsia="Times New Roman" w:hAnsi="Open Sans" w:cs="Open Sans"/>
          <w:color w:val="555555"/>
          <w:kern w:val="0"/>
          <w:sz w:val="30"/>
          <w:szCs w:val="30"/>
          <w:lang w:eastAsia="de-AT"/>
          <w14:ligatures w14:val="none"/>
        </w:rPr>
        <w:t xml:space="preserve"> und die Qualität ihrer klimabezogenen Offenlegungen widerspiegelt.</w:t>
      </w:r>
    </w:p>
    <w:p w14:paraId="2525A5B7" w14:textId="77777777" w:rsidR="008E5AF1" w:rsidRPr="008E5AF1" w:rsidRDefault="008E5AF1" w:rsidP="008E5AF1">
      <w:pPr>
        <w:spacing w:after="0" w:line="240" w:lineRule="auto"/>
        <w:textAlignment w:val="baseline"/>
        <w:rPr>
          <w:rFonts w:ascii="Open Sans" w:eastAsia="Times New Roman" w:hAnsi="Open Sans" w:cs="Open Sans"/>
          <w:color w:val="555555"/>
          <w:kern w:val="0"/>
          <w:sz w:val="30"/>
          <w:szCs w:val="30"/>
          <w:lang w:eastAsia="de-AT"/>
          <w14:ligatures w14:val="none"/>
        </w:rPr>
      </w:pPr>
      <w:r w:rsidRPr="008E5AF1">
        <w:rPr>
          <w:rFonts w:ascii="Open Sans" w:eastAsia="Times New Roman" w:hAnsi="Open Sans" w:cs="Open Sans"/>
          <w:color w:val="555555"/>
          <w:kern w:val="0"/>
          <w:sz w:val="30"/>
          <w:szCs w:val="30"/>
          <w:lang w:eastAsia="de-AT"/>
          <w14:ligatures w14:val="none"/>
        </w:rPr>
        <w:lastRenderedPageBreak/>
        <w:t xml:space="preserve">Unser wichtigstes Steuerungsinstrument in diesem Prozess ist der </w:t>
      </w:r>
      <w:proofErr w:type="spellStart"/>
      <w:r w:rsidRPr="008E5AF1">
        <w:rPr>
          <w:rFonts w:ascii="Open Sans" w:eastAsia="Times New Roman" w:hAnsi="Open Sans" w:cs="Open Sans"/>
          <w:color w:val="555555"/>
          <w:kern w:val="0"/>
          <w:sz w:val="30"/>
          <w:szCs w:val="30"/>
          <w:lang w:eastAsia="de-AT"/>
          <w14:ligatures w14:val="none"/>
        </w:rPr>
        <w:t>Tiltungsparameter</w:t>
      </w:r>
      <w:proofErr w:type="spellEnd"/>
      <w:r w:rsidRPr="008E5AF1">
        <w:rPr>
          <w:rFonts w:ascii="Open Sans" w:eastAsia="Times New Roman" w:hAnsi="Open Sans" w:cs="Open Sans"/>
          <w:color w:val="555555"/>
          <w:kern w:val="0"/>
          <w:sz w:val="30"/>
          <w:szCs w:val="30"/>
          <w:lang w:eastAsia="de-AT"/>
          <w14:ligatures w14:val="none"/>
        </w:rPr>
        <w:t xml:space="preserve"> – also die Gewichtung, die wir dem Klimascore in unserer Benchmark-Allokation für Neuanschaffungen beimessen. Allerdings verlor der Neigungsparameter einen Teil seiner Schlagkraft, als wir beschlossen, die Nettokäufe von Vermögenswerten zu stoppen (Folie 5). Die bevorstehende Reduzierung der Reinvestitionen wird die Fähigkeit eines flussbasierten Ansatzes zur Dekarbonisierung unseres </w:t>
      </w:r>
      <w:proofErr w:type="spellStart"/>
      <w:r w:rsidRPr="008E5AF1">
        <w:rPr>
          <w:rFonts w:ascii="Open Sans" w:eastAsia="Times New Roman" w:hAnsi="Open Sans" w:cs="Open Sans"/>
          <w:color w:val="555555"/>
          <w:kern w:val="0"/>
          <w:sz w:val="30"/>
          <w:szCs w:val="30"/>
          <w:lang w:eastAsia="de-AT"/>
          <w14:ligatures w14:val="none"/>
        </w:rPr>
        <w:t>Unternehmensanleihenportfolios</w:t>
      </w:r>
      <w:proofErr w:type="spellEnd"/>
      <w:r w:rsidRPr="008E5AF1">
        <w:rPr>
          <w:rFonts w:ascii="Open Sans" w:eastAsia="Times New Roman" w:hAnsi="Open Sans" w:cs="Open Sans"/>
          <w:color w:val="555555"/>
          <w:kern w:val="0"/>
          <w:sz w:val="30"/>
          <w:szCs w:val="30"/>
          <w:lang w:eastAsia="de-AT"/>
          <w14:ligatures w14:val="none"/>
        </w:rPr>
        <w:t xml:space="preserve"> in einem Tempo, das mit unseren Klimaambitionen im Einklang steht, weiter erheblich </w:t>
      </w:r>
      <w:proofErr w:type="gramStart"/>
      <w:r w:rsidRPr="008E5AF1">
        <w:rPr>
          <w:rFonts w:ascii="Open Sans" w:eastAsia="Times New Roman" w:hAnsi="Open Sans" w:cs="Open Sans"/>
          <w:color w:val="555555"/>
          <w:kern w:val="0"/>
          <w:sz w:val="30"/>
          <w:szCs w:val="30"/>
          <w:lang w:eastAsia="de-AT"/>
          <w14:ligatures w14:val="none"/>
        </w:rPr>
        <w:t>einschränken.</w:t>
      </w:r>
      <w:r w:rsidRPr="008E5AF1">
        <w:rPr>
          <w:rFonts w:ascii="Open Sans" w:eastAsia="Times New Roman" w:hAnsi="Open Sans" w:cs="Open Sans"/>
          <w:color w:val="555555"/>
          <w:kern w:val="0"/>
          <w:sz w:val="21"/>
          <w:szCs w:val="21"/>
          <w:bdr w:val="none" w:sz="0" w:space="0" w:color="auto" w:frame="1"/>
          <w:vertAlign w:val="superscript"/>
          <w:lang w:eastAsia="de-AT"/>
          <w14:ligatures w14:val="none"/>
        </w:rPr>
        <w:t>[</w:t>
      </w:r>
      <w:proofErr w:type="gramEnd"/>
      <w:r w:rsidRPr="008E5AF1">
        <w:rPr>
          <w:rFonts w:ascii="Open Sans" w:eastAsia="Times New Roman" w:hAnsi="Open Sans" w:cs="Open Sans"/>
          <w:color w:val="555555"/>
          <w:kern w:val="0"/>
          <w:sz w:val="21"/>
          <w:szCs w:val="21"/>
          <w:bdr w:val="none" w:sz="0" w:space="0" w:color="auto" w:frame="1"/>
          <w:vertAlign w:val="superscript"/>
          <w:lang w:eastAsia="de-AT"/>
          <w14:ligatures w14:val="none"/>
        </w:rPr>
        <w:fldChar w:fldCharType="begin"/>
      </w:r>
      <w:r w:rsidRPr="008E5AF1">
        <w:rPr>
          <w:rFonts w:ascii="Open Sans" w:eastAsia="Times New Roman" w:hAnsi="Open Sans" w:cs="Open Sans"/>
          <w:color w:val="555555"/>
          <w:kern w:val="0"/>
          <w:sz w:val="21"/>
          <w:szCs w:val="21"/>
          <w:bdr w:val="none" w:sz="0" w:space="0" w:color="auto" w:frame="1"/>
          <w:vertAlign w:val="superscript"/>
          <w:lang w:eastAsia="de-AT"/>
          <w14:ligatures w14:val="none"/>
        </w:rPr>
        <w:instrText>HYPERLINK "https://www.ecb.europa.eu/press/key/date/2023/html/ecb.sp230110~21c89bef1b.en.html" \l "footnote.21"</w:instrText>
      </w:r>
      <w:r w:rsidRPr="008E5AF1">
        <w:rPr>
          <w:rFonts w:ascii="Open Sans" w:eastAsia="Times New Roman" w:hAnsi="Open Sans" w:cs="Open Sans"/>
          <w:color w:val="555555"/>
          <w:kern w:val="0"/>
          <w:sz w:val="21"/>
          <w:szCs w:val="21"/>
          <w:bdr w:val="none" w:sz="0" w:space="0" w:color="auto" w:frame="1"/>
          <w:vertAlign w:val="superscript"/>
          <w:lang w:eastAsia="de-AT"/>
          <w14:ligatures w14:val="none"/>
        </w:rPr>
      </w:r>
      <w:r w:rsidRPr="008E5AF1">
        <w:rPr>
          <w:rFonts w:ascii="Open Sans" w:eastAsia="Times New Roman" w:hAnsi="Open Sans" w:cs="Open Sans"/>
          <w:color w:val="555555"/>
          <w:kern w:val="0"/>
          <w:sz w:val="21"/>
          <w:szCs w:val="21"/>
          <w:bdr w:val="none" w:sz="0" w:space="0" w:color="auto" w:frame="1"/>
          <w:vertAlign w:val="superscript"/>
          <w:lang w:eastAsia="de-AT"/>
          <w14:ligatures w14:val="none"/>
        </w:rPr>
        <w:fldChar w:fldCharType="separate"/>
      </w:r>
      <w:r w:rsidRPr="008E5AF1">
        <w:rPr>
          <w:rFonts w:ascii="Open Sans" w:eastAsia="Times New Roman" w:hAnsi="Open Sans" w:cs="Open Sans"/>
          <w:color w:val="2B7AB6"/>
          <w:kern w:val="0"/>
          <w:sz w:val="21"/>
          <w:szCs w:val="21"/>
          <w:bdr w:val="none" w:sz="0" w:space="0" w:color="auto" w:frame="1"/>
          <w:lang w:eastAsia="de-AT"/>
          <w14:ligatures w14:val="none"/>
        </w:rPr>
        <w:t>21</w:t>
      </w:r>
      <w:r w:rsidRPr="008E5AF1">
        <w:rPr>
          <w:rFonts w:ascii="Open Sans" w:eastAsia="Times New Roman" w:hAnsi="Open Sans" w:cs="Open Sans"/>
          <w:color w:val="555555"/>
          <w:kern w:val="0"/>
          <w:sz w:val="21"/>
          <w:szCs w:val="21"/>
          <w:bdr w:val="none" w:sz="0" w:space="0" w:color="auto" w:frame="1"/>
          <w:vertAlign w:val="superscript"/>
          <w:lang w:eastAsia="de-AT"/>
          <w14:ligatures w14:val="none"/>
        </w:rPr>
        <w:fldChar w:fldCharType="end"/>
      </w:r>
      <w:r w:rsidRPr="008E5AF1">
        <w:rPr>
          <w:rFonts w:ascii="Open Sans" w:eastAsia="Times New Roman" w:hAnsi="Open Sans" w:cs="Open Sans"/>
          <w:color w:val="555555"/>
          <w:kern w:val="0"/>
          <w:sz w:val="21"/>
          <w:szCs w:val="21"/>
          <w:bdr w:val="none" w:sz="0" w:space="0" w:color="auto" w:frame="1"/>
          <w:vertAlign w:val="superscript"/>
          <w:lang w:eastAsia="de-AT"/>
          <w14:ligatures w14:val="none"/>
        </w:rPr>
        <w:t>]</w:t>
      </w:r>
    </w:p>
    <w:p w14:paraId="30532CD5" w14:textId="77777777" w:rsidR="008E5AF1" w:rsidRPr="008E5AF1" w:rsidRDefault="008E5AF1" w:rsidP="008E5AF1">
      <w:pPr>
        <w:spacing w:after="0" w:line="240" w:lineRule="auto"/>
        <w:textAlignment w:val="baseline"/>
        <w:rPr>
          <w:rFonts w:ascii="Open Sans" w:eastAsia="Times New Roman" w:hAnsi="Open Sans" w:cs="Open Sans"/>
          <w:color w:val="555555"/>
          <w:kern w:val="0"/>
          <w:sz w:val="30"/>
          <w:szCs w:val="30"/>
          <w:lang w:eastAsia="de-AT"/>
          <w14:ligatures w14:val="none"/>
        </w:rPr>
      </w:pPr>
      <w:r w:rsidRPr="008E5AF1">
        <w:rPr>
          <w:rFonts w:ascii="Open Sans" w:eastAsia="Times New Roman" w:hAnsi="Open Sans" w:cs="Open Sans"/>
          <w:color w:val="555555"/>
          <w:kern w:val="0"/>
          <w:sz w:val="30"/>
          <w:szCs w:val="30"/>
          <w:lang w:eastAsia="de-AT"/>
          <w14:ligatures w14:val="none"/>
        </w:rPr>
        <w:t xml:space="preserve">Die Dekarbonisierung unseres </w:t>
      </w:r>
      <w:proofErr w:type="spellStart"/>
      <w:r w:rsidRPr="008E5AF1">
        <w:rPr>
          <w:rFonts w:ascii="Open Sans" w:eastAsia="Times New Roman" w:hAnsi="Open Sans" w:cs="Open Sans"/>
          <w:color w:val="555555"/>
          <w:kern w:val="0"/>
          <w:sz w:val="30"/>
          <w:szCs w:val="30"/>
          <w:lang w:eastAsia="de-AT"/>
          <w14:ligatures w14:val="none"/>
        </w:rPr>
        <w:t>Unternehmensanleihenportfolios</w:t>
      </w:r>
      <w:proofErr w:type="spellEnd"/>
      <w:r w:rsidRPr="008E5AF1">
        <w:rPr>
          <w:rFonts w:ascii="Open Sans" w:eastAsia="Times New Roman" w:hAnsi="Open Sans" w:cs="Open Sans"/>
          <w:color w:val="555555"/>
          <w:kern w:val="0"/>
          <w:sz w:val="30"/>
          <w:szCs w:val="30"/>
          <w:lang w:eastAsia="de-AT"/>
          <w14:ligatures w14:val="none"/>
        </w:rPr>
        <w:t xml:space="preserve"> hängt nicht nur von unserem Neigungsparameter ab, sondern auch erheblich von der Geschwindigkeit, mit der die Unternehmen in unserem Portfolio ihre Geschäfte </w:t>
      </w:r>
      <w:proofErr w:type="spellStart"/>
      <w:proofErr w:type="gramStart"/>
      <w:r w:rsidRPr="008E5AF1">
        <w:rPr>
          <w:rFonts w:ascii="Open Sans" w:eastAsia="Times New Roman" w:hAnsi="Open Sans" w:cs="Open Sans"/>
          <w:color w:val="555555"/>
          <w:kern w:val="0"/>
          <w:sz w:val="30"/>
          <w:szCs w:val="30"/>
          <w:lang w:eastAsia="de-AT"/>
          <w14:ligatures w14:val="none"/>
        </w:rPr>
        <w:t>dekarbonisieren</w:t>
      </w:r>
      <w:proofErr w:type="spellEnd"/>
      <w:r w:rsidRPr="008E5AF1">
        <w:rPr>
          <w:rFonts w:ascii="Open Sans" w:eastAsia="Times New Roman" w:hAnsi="Open Sans" w:cs="Open Sans"/>
          <w:color w:val="555555"/>
          <w:kern w:val="0"/>
          <w:sz w:val="30"/>
          <w:szCs w:val="30"/>
          <w:lang w:eastAsia="de-AT"/>
          <w14:ligatures w14:val="none"/>
        </w:rPr>
        <w:t>.</w:t>
      </w:r>
      <w:r w:rsidRPr="008E5AF1">
        <w:rPr>
          <w:rFonts w:ascii="Open Sans" w:eastAsia="Times New Roman" w:hAnsi="Open Sans" w:cs="Open Sans"/>
          <w:color w:val="555555"/>
          <w:kern w:val="0"/>
          <w:sz w:val="21"/>
          <w:szCs w:val="21"/>
          <w:bdr w:val="none" w:sz="0" w:space="0" w:color="auto" w:frame="1"/>
          <w:vertAlign w:val="superscript"/>
          <w:lang w:eastAsia="de-AT"/>
          <w14:ligatures w14:val="none"/>
        </w:rPr>
        <w:t>[</w:t>
      </w:r>
      <w:proofErr w:type="gramEnd"/>
      <w:r w:rsidRPr="008E5AF1">
        <w:rPr>
          <w:rFonts w:ascii="Open Sans" w:eastAsia="Times New Roman" w:hAnsi="Open Sans" w:cs="Open Sans"/>
          <w:color w:val="555555"/>
          <w:kern w:val="0"/>
          <w:sz w:val="21"/>
          <w:szCs w:val="21"/>
          <w:bdr w:val="none" w:sz="0" w:space="0" w:color="auto" w:frame="1"/>
          <w:vertAlign w:val="superscript"/>
          <w:lang w:eastAsia="de-AT"/>
          <w14:ligatures w14:val="none"/>
        </w:rPr>
        <w:fldChar w:fldCharType="begin"/>
      </w:r>
      <w:r w:rsidRPr="008E5AF1">
        <w:rPr>
          <w:rFonts w:ascii="Open Sans" w:eastAsia="Times New Roman" w:hAnsi="Open Sans" w:cs="Open Sans"/>
          <w:color w:val="555555"/>
          <w:kern w:val="0"/>
          <w:sz w:val="21"/>
          <w:szCs w:val="21"/>
          <w:bdr w:val="none" w:sz="0" w:space="0" w:color="auto" w:frame="1"/>
          <w:vertAlign w:val="superscript"/>
          <w:lang w:eastAsia="de-AT"/>
          <w14:ligatures w14:val="none"/>
        </w:rPr>
        <w:instrText>HYPERLINK "https://www.ecb.europa.eu/press/key/date/2023/html/ecb.sp230110~21c89bef1b.en.html" \l "footnote.22"</w:instrText>
      </w:r>
      <w:r w:rsidRPr="008E5AF1">
        <w:rPr>
          <w:rFonts w:ascii="Open Sans" w:eastAsia="Times New Roman" w:hAnsi="Open Sans" w:cs="Open Sans"/>
          <w:color w:val="555555"/>
          <w:kern w:val="0"/>
          <w:sz w:val="21"/>
          <w:szCs w:val="21"/>
          <w:bdr w:val="none" w:sz="0" w:space="0" w:color="auto" w:frame="1"/>
          <w:vertAlign w:val="superscript"/>
          <w:lang w:eastAsia="de-AT"/>
          <w14:ligatures w14:val="none"/>
        </w:rPr>
      </w:r>
      <w:r w:rsidRPr="008E5AF1">
        <w:rPr>
          <w:rFonts w:ascii="Open Sans" w:eastAsia="Times New Roman" w:hAnsi="Open Sans" w:cs="Open Sans"/>
          <w:color w:val="555555"/>
          <w:kern w:val="0"/>
          <w:sz w:val="21"/>
          <w:szCs w:val="21"/>
          <w:bdr w:val="none" w:sz="0" w:space="0" w:color="auto" w:frame="1"/>
          <w:vertAlign w:val="superscript"/>
          <w:lang w:eastAsia="de-AT"/>
          <w14:ligatures w14:val="none"/>
        </w:rPr>
        <w:fldChar w:fldCharType="separate"/>
      </w:r>
      <w:r w:rsidRPr="008E5AF1">
        <w:rPr>
          <w:rFonts w:ascii="Open Sans" w:eastAsia="Times New Roman" w:hAnsi="Open Sans" w:cs="Open Sans"/>
          <w:color w:val="2B7AB6"/>
          <w:kern w:val="0"/>
          <w:sz w:val="21"/>
          <w:szCs w:val="21"/>
          <w:bdr w:val="none" w:sz="0" w:space="0" w:color="auto" w:frame="1"/>
          <w:lang w:eastAsia="de-AT"/>
          <w14:ligatures w14:val="none"/>
        </w:rPr>
        <w:t>22</w:t>
      </w:r>
      <w:r w:rsidRPr="008E5AF1">
        <w:rPr>
          <w:rFonts w:ascii="Open Sans" w:eastAsia="Times New Roman" w:hAnsi="Open Sans" w:cs="Open Sans"/>
          <w:color w:val="555555"/>
          <w:kern w:val="0"/>
          <w:sz w:val="21"/>
          <w:szCs w:val="21"/>
          <w:bdr w:val="none" w:sz="0" w:space="0" w:color="auto" w:frame="1"/>
          <w:vertAlign w:val="superscript"/>
          <w:lang w:eastAsia="de-AT"/>
          <w14:ligatures w14:val="none"/>
        </w:rPr>
        <w:fldChar w:fldCharType="end"/>
      </w:r>
      <w:r w:rsidRPr="008E5AF1">
        <w:rPr>
          <w:rFonts w:ascii="Open Sans" w:eastAsia="Times New Roman" w:hAnsi="Open Sans" w:cs="Open Sans"/>
          <w:color w:val="555555"/>
          <w:kern w:val="0"/>
          <w:sz w:val="21"/>
          <w:szCs w:val="21"/>
          <w:bdr w:val="none" w:sz="0" w:space="0" w:color="auto" w:frame="1"/>
          <w:vertAlign w:val="superscript"/>
          <w:lang w:eastAsia="de-AT"/>
          <w14:ligatures w14:val="none"/>
        </w:rPr>
        <w:t>]</w:t>
      </w:r>
    </w:p>
    <w:p w14:paraId="01EBA892" w14:textId="77777777" w:rsidR="008E5AF1" w:rsidRPr="008E5AF1" w:rsidRDefault="008E5AF1" w:rsidP="008E5AF1">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8E5AF1">
        <w:rPr>
          <w:rFonts w:ascii="Open Sans" w:eastAsia="Times New Roman" w:hAnsi="Open Sans" w:cs="Open Sans"/>
          <w:color w:val="555555"/>
          <w:kern w:val="0"/>
          <w:sz w:val="30"/>
          <w:szCs w:val="30"/>
          <w:lang w:eastAsia="de-AT"/>
          <w14:ligatures w14:val="none"/>
        </w:rPr>
        <w:t xml:space="preserve">Unter der Annahme einer vollständigen Reinvestition würden wir beispielsweise bis 2030 nur die Hälfte der gesamten Dekarbonisierung unserer </w:t>
      </w:r>
      <w:proofErr w:type="spellStart"/>
      <w:r w:rsidRPr="008E5AF1">
        <w:rPr>
          <w:rFonts w:ascii="Open Sans" w:eastAsia="Times New Roman" w:hAnsi="Open Sans" w:cs="Open Sans"/>
          <w:color w:val="555555"/>
          <w:kern w:val="0"/>
          <w:sz w:val="30"/>
          <w:szCs w:val="30"/>
          <w:lang w:eastAsia="de-AT"/>
          <w14:ligatures w14:val="none"/>
        </w:rPr>
        <w:t>Unternehmensanleihenbestände</w:t>
      </w:r>
      <w:proofErr w:type="spellEnd"/>
      <w:r w:rsidRPr="008E5AF1">
        <w:rPr>
          <w:rFonts w:ascii="Open Sans" w:eastAsia="Times New Roman" w:hAnsi="Open Sans" w:cs="Open Sans"/>
          <w:color w:val="555555"/>
          <w:kern w:val="0"/>
          <w:sz w:val="30"/>
          <w:szCs w:val="30"/>
          <w:lang w:eastAsia="de-AT"/>
          <w14:ligatures w14:val="none"/>
        </w:rPr>
        <w:t xml:space="preserve"> erreichen, wenn Unternehmen keine Schritte mehr zur Dekarbonisierung ihrer Aktivitäten </w:t>
      </w:r>
      <w:proofErr w:type="spellStart"/>
      <w:r w:rsidRPr="008E5AF1">
        <w:rPr>
          <w:rFonts w:ascii="Open Sans" w:eastAsia="Times New Roman" w:hAnsi="Open Sans" w:cs="Open Sans"/>
          <w:color w:val="555555"/>
          <w:kern w:val="0"/>
          <w:sz w:val="30"/>
          <w:szCs w:val="30"/>
          <w:lang w:eastAsia="de-AT"/>
          <w14:ligatures w14:val="none"/>
        </w:rPr>
        <w:t>unternehmen</w:t>
      </w:r>
      <w:proofErr w:type="spellEnd"/>
      <w:r w:rsidRPr="008E5AF1">
        <w:rPr>
          <w:rFonts w:ascii="Open Sans" w:eastAsia="Times New Roman" w:hAnsi="Open Sans" w:cs="Open Sans"/>
          <w:color w:val="555555"/>
          <w:kern w:val="0"/>
          <w:sz w:val="30"/>
          <w:szCs w:val="30"/>
          <w:lang w:eastAsia="de-AT"/>
          <w14:ligatures w14:val="none"/>
        </w:rPr>
        <w:t xml:space="preserve"> würden (Folie 6, linke Seite). Dieser Effekt hängt in erheblichem Maße vom Handeln einiger weniger emissionsintensiver Unternehmen ab (Folie 6, rechte Seite).</w:t>
      </w:r>
    </w:p>
    <w:p w14:paraId="48AE9D90" w14:textId="77777777" w:rsidR="008E5AF1" w:rsidRPr="008E5AF1" w:rsidRDefault="008E5AF1" w:rsidP="008E5AF1">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8E5AF1">
        <w:rPr>
          <w:rFonts w:ascii="Open Sans" w:eastAsia="Times New Roman" w:hAnsi="Open Sans" w:cs="Open Sans"/>
          <w:color w:val="555555"/>
          <w:kern w:val="0"/>
          <w:sz w:val="30"/>
          <w:szCs w:val="30"/>
          <w:lang w:eastAsia="de-AT"/>
          <w14:ligatures w14:val="none"/>
        </w:rPr>
        <w:t>Zusammengenommen bedeutet dies, dass sich die Geschwindigkeit der Dekarbonisierung unseres Portfolios durch die Beendigung unserer Reinvestitionen erheblich verlangsamen würde und weitgehend außerhalb unserer Kontrolle liegen würde.</w:t>
      </w:r>
    </w:p>
    <w:p w14:paraId="6DDF83D0" w14:textId="77777777" w:rsidR="008E5AF1" w:rsidRPr="008E5AF1" w:rsidRDefault="008E5AF1" w:rsidP="008E5AF1">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8E5AF1">
        <w:rPr>
          <w:rFonts w:ascii="Open Sans" w:eastAsia="Times New Roman" w:hAnsi="Open Sans" w:cs="Open Sans"/>
          <w:color w:val="555555"/>
          <w:kern w:val="0"/>
          <w:sz w:val="30"/>
          <w:szCs w:val="30"/>
          <w:lang w:eastAsia="de-AT"/>
          <w14:ligatures w14:val="none"/>
        </w:rPr>
        <w:t xml:space="preserve">Ein strömungsbasierter Kippansatz reicht daher nicht aus, um unser Ziel zu erreichen. Das Pariser Abkommen erfordert einen </w:t>
      </w:r>
      <w:r w:rsidRPr="008E5AF1">
        <w:rPr>
          <w:rFonts w:ascii="Open Sans" w:eastAsia="Times New Roman" w:hAnsi="Open Sans" w:cs="Open Sans"/>
          <w:color w:val="555555"/>
          <w:kern w:val="0"/>
          <w:sz w:val="30"/>
          <w:szCs w:val="30"/>
          <w:lang w:eastAsia="de-AT"/>
          <w14:ligatures w14:val="none"/>
        </w:rPr>
        <w:lastRenderedPageBreak/>
        <w:t xml:space="preserve">stabilen </w:t>
      </w:r>
      <w:proofErr w:type="spellStart"/>
      <w:r w:rsidRPr="008E5AF1">
        <w:rPr>
          <w:rFonts w:ascii="Open Sans" w:eastAsia="Times New Roman" w:hAnsi="Open Sans" w:cs="Open Sans"/>
          <w:color w:val="555555"/>
          <w:kern w:val="0"/>
          <w:sz w:val="30"/>
          <w:szCs w:val="30"/>
          <w:lang w:eastAsia="de-AT"/>
          <w14:ligatures w14:val="none"/>
        </w:rPr>
        <w:t>Dekarbonisierungspfad</w:t>
      </w:r>
      <w:proofErr w:type="spellEnd"/>
      <w:r w:rsidRPr="008E5AF1">
        <w:rPr>
          <w:rFonts w:ascii="Open Sans" w:eastAsia="Times New Roman" w:hAnsi="Open Sans" w:cs="Open Sans"/>
          <w:color w:val="555555"/>
          <w:kern w:val="0"/>
          <w:sz w:val="30"/>
          <w:szCs w:val="30"/>
          <w:lang w:eastAsia="de-AT"/>
          <w14:ligatures w14:val="none"/>
        </w:rPr>
        <w:t xml:space="preserve"> in unserem Portfolio, unabhängig von unserem geldpolitischen Kurs oder den individuellen Maßnahmen der Unternehmen.</w:t>
      </w:r>
    </w:p>
    <w:p w14:paraId="32D0C5FD" w14:textId="77777777" w:rsidR="008E5AF1" w:rsidRPr="008E5AF1" w:rsidRDefault="008E5AF1" w:rsidP="008E5AF1">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8E5AF1">
        <w:rPr>
          <w:rFonts w:ascii="Open Sans" w:eastAsia="Times New Roman" w:hAnsi="Open Sans" w:cs="Open Sans"/>
          <w:color w:val="555555"/>
          <w:kern w:val="0"/>
          <w:sz w:val="30"/>
          <w:szCs w:val="30"/>
          <w:lang w:eastAsia="de-AT"/>
          <w14:ligatures w14:val="none"/>
        </w:rPr>
        <w:t xml:space="preserve">Wir müssen daher für unser </w:t>
      </w:r>
      <w:proofErr w:type="spellStart"/>
      <w:r w:rsidRPr="008E5AF1">
        <w:rPr>
          <w:rFonts w:ascii="Open Sans" w:eastAsia="Times New Roman" w:hAnsi="Open Sans" w:cs="Open Sans"/>
          <w:color w:val="555555"/>
          <w:kern w:val="0"/>
          <w:sz w:val="30"/>
          <w:szCs w:val="30"/>
          <w:lang w:eastAsia="de-AT"/>
          <w14:ligatures w14:val="none"/>
        </w:rPr>
        <w:t>Unternehmensanleihenportfolio</w:t>
      </w:r>
      <w:proofErr w:type="spellEnd"/>
      <w:r w:rsidRPr="008E5AF1">
        <w:rPr>
          <w:rFonts w:ascii="Open Sans" w:eastAsia="Times New Roman" w:hAnsi="Open Sans" w:cs="Open Sans"/>
          <w:color w:val="555555"/>
          <w:kern w:val="0"/>
          <w:sz w:val="30"/>
          <w:szCs w:val="30"/>
          <w:lang w:eastAsia="de-AT"/>
          <w14:ligatures w14:val="none"/>
        </w:rPr>
        <w:t xml:space="preserve"> von einem flussbasierten zu einem aktienbasierten </w:t>
      </w:r>
      <w:proofErr w:type="spellStart"/>
      <w:r w:rsidRPr="008E5AF1">
        <w:rPr>
          <w:rFonts w:ascii="Open Sans" w:eastAsia="Times New Roman" w:hAnsi="Open Sans" w:cs="Open Sans"/>
          <w:color w:val="555555"/>
          <w:kern w:val="0"/>
          <w:sz w:val="30"/>
          <w:szCs w:val="30"/>
          <w:lang w:eastAsia="de-AT"/>
          <w14:ligatures w14:val="none"/>
        </w:rPr>
        <w:t>Tiltungsansatz</w:t>
      </w:r>
      <w:proofErr w:type="spellEnd"/>
      <w:r w:rsidRPr="008E5AF1">
        <w:rPr>
          <w:rFonts w:ascii="Open Sans" w:eastAsia="Times New Roman" w:hAnsi="Open Sans" w:cs="Open Sans"/>
          <w:color w:val="555555"/>
          <w:kern w:val="0"/>
          <w:sz w:val="30"/>
          <w:szCs w:val="30"/>
          <w:lang w:eastAsia="de-AT"/>
          <w14:ligatures w14:val="none"/>
        </w:rPr>
        <w:t xml:space="preserve"> übergehen. Das bedeutet, dass ohne Reinvestitionen eine aktive Umschichtung des Portfolios hin zu umweltfreundlicheren Emittenten in Betracht gezogen werden müsste.</w:t>
      </w:r>
    </w:p>
    <w:p w14:paraId="0E484578" w14:textId="77777777" w:rsidR="008E5AF1" w:rsidRPr="008E5AF1" w:rsidRDefault="008E5AF1" w:rsidP="008E5AF1">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8E5AF1">
        <w:rPr>
          <w:rFonts w:ascii="Open Sans" w:eastAsia="Times New Roman" w:hAnsi="Open Sans" w:cs="Open Sans"/>
          <w:color w:val="555555"/>
          <w:kern w:val="0"/>
          <w:sz w:val="30"/>
          <w:szCs w:val="30"/>
          <w:lang w:eastAsia="de-AT"/>
          <w14:ligatures w14:val="none"/>
        </w:rPr>
        <w:t>Gleichzeitig sollten wir uns zumindest zunächst nicht vollständig von den Unternehmen trennen, deren Maßnahmen für die Bewältigung des grünen Wandels besonders wichtig sind, sondern vielmehr Anreize für sie schaffen, ihre Emissionen weiter zu reduzieren.</w:t>
      </w:r>
    </w:p>
    <w:p w14:paraId="059DB5CF" w14:textId="77777777" w:rsidR="008E5AF1" w:rsidRPr="008E5AF1" w:rsidRDefault="008E5AF1" w:rsidP="008E5AF1">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8E5AF1">
        <w:rPr>
          <w:rFonts w:ascii="Open Sans" w:eastAsia="Times New Roman" w:hAnsi="Open Sans" w:cs="Open Sans"/>
          <w:color w:val="555555"/>
          <w:kern w:val="0"/>
          <w:sz w:val="30"/>
          <w:szCs w:val="30"/>
          <w:lang w:eastAsia="de-AT"/>
          <w14:ligatures w14:val="none"/>
        </w:rPr>
        <w:t>Der aktienbasierte Ansatz müsste auch für andere private Anlageklassen in unserem Portfolio gelten, nämlich Pfandbriefe und Asset-</w:t>
      </w:r>
      <w:proofErr w:type="spellStart"/>
      <w:r w:rsidRPr="008E5AF1">
        <w:rPr>
          <w:rFonts w:ascii="Open Sans" w:eastAsia="Times New Roman" w:hAnsi="Open Sans" w:cs="Open Sans"/>
          <w:color w:val="555555"/>
          <w:kern w:val="0"/>
          <w:sz w:val="30"/>
          <w:szCs w:val="30"/>
          <w:lang w:eastAsia="de-AT"/>
          <w14:ligatures w14:val="none"/>
        </w:rPr>
        <w:t>Backed</w:t>
      </w:r>
      <w:proofErr w:type="spellEnd"/>
      <w:r w:rsidRPr="008E5AF1">
        <w:rPr>
          <w:rFonts w:ascii="Open Sans" w:eastAsia="Times New Roman" w:hAnsi="Open Sans" w:cs="Open Sans"/>
          <w:color w:val="555555"/>
          <w:kern w:val="0"/>
          <w:sz w:val="30"/>
          <w:szCs w:val="30"/>
          <w:lang w:eastAsia="de-AT"/>
          <w14:ligatures w14:val="none"/>
        </w:rPr>
        <w:t xml:space="preserve"> Securities. Dafür ist ein Rahmen zur Bewertung der Klimaauswirkungen solcher Expositionen erforderlich.</w:t>
      </w:r>
    </w:p>
    <w:p w14:paraId="0E5475EF" w14:textId="77777777" w:rsidR="008E5AF1" w:rsidRPr="008E5AF1" w:rsidRDefault="008E5AF1" w:rsidP="008E5AF1">
      <w:pPr>
        <w:spacing w:before="750" w:after="300" w:line="485" w:lineRule="atLeast"/>
        <w:textAlignment w:val="baseline"/>
        <w:outlineLvl w:val="2"/>
        <w:rPr>
          <w:rFonts w:ascii="inherit" w:eastAsia="Times New Roman" w:hAnsi="inherit" w:cs="Open Sans"/>
          <w:b/>
          <w:bCs/>
          <w:color w:val="003299"/>
          <w:kern w:val="0"/>
          <w:sz w:val="36"/>
          <w:szCs w:val="36"/>
          <w:lang w:eastAsia="de-AT"/>
          <w14:ligatures w14:val="none"/>
        </w:rPr>
      </w:pPr>
      <w:r w:rsidRPr="008E5AF1">
        <w:rPr>
          <w:rFonts w:ascii="inherit" w:eastAsia="Times New Roman" w:hAnsi="inherit" w:cs="Open Sans"/>
          <w:b/>
          <w:bCs/>
          <w:color w:val="003299"/>
          <w:kern w:val="0"/>
          <w:sz w:val="36"/>
          <w:szCs w:val="36"/>
          <w:lang w:eastAsia="de-AT"/>
          <w14:ligatures w14:val="none"/>
        </w:rPr>
        <w:t xml:space="preserve">Ökologisierung unserer </w:t>
      </w:r>
      <w:proofErr w:type="spellStart"/>
      <w:r w:rsidRPr="008E5AF1">
        <w:rPr>
          <w:rFonts w:ascii="inherit" w:eastAsia="Times New Roman" w:hAnsi="inherit" w:cs="Open Sans"/>
          <w:b/>
          <w:bCs/>
          <w:color w:val="003299"/>
          <w:kern w:val="0"/>
          <w:sz w:val="36"/>
          <w:szCs w:val="36"/>
          <w:lang w:eastAsia="de-AT"/>
          <w14:ligatures w14:val="none"/>
        </w:rPr>
        <w:t>Anleihenbestände</w:t>
      </w:r>
      <w:proofErr w:type="spellEnd"/>
      <w:r w:rsidRPr="008E5AF1">
        <w:rPr>
          <w:rFonts w:ascii="inherit" w:eastAsia="Times New Roman" w:hAnsi="inherit" w:cs="Open Sans"/>
          <w:b/>
          <w:bCs/>
          <w:color w:val="003299"/>
          <w:kern w:val="0"/>
          <w:sz w:val="36"/>
          <w:szCs w:val="36"/>
          <w:lang w:eastAsia="de-AT"/>
          <w14:ligatures w14:val="none"/>
        </w:rPr>
        <w:t xml:space="preserve"> des öffentlichen Sektors</w:t>
      </w:r>
    </w:p>
    <w:p w14:paraId="593CF9FC" w14:textId="77777777" w:rsidR="008E5AF1" w:rsidRPr="008E5AF1" w:rsidRDefault="008E5AF1" w:rsidP="008E5AF1">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8E5AF1">
        <w:rPr>
          <w:rFonts w:ascii="Open Sans" w:eastAsia="Times New Roman" w:hAnsi="Open Sans" w:cs="Open Sans"/>
          <w:color w:val="555555"/>
          <w:kern w:val="0"/>
          <w:sz w:val="30"/>
          <w:szCs w:val="30"/>
          <w:lang w:eastAsia="de-AT"/>
          <w14:ligatures w14:val="none"/>
        </w:rPr>
        <w:t xml:space="preserve">Die zweite Frage ist, wie wir unsere </w:t>
      </w:r>
      <w:proofErr w:type="spellStart"/>
      <w:r w:rsidRPr="008E5AF1">
        <w:rPr>
          <w:rFonts w:ascii="Open Sans" w:eastAsia="Times New Roman" w:hAnsi="Open Sans" w:cs="Open Sans"/>
          <w:color w:val="555555"/>
          <w:kern w:val="0"/>
          <w:sz w:val="30"/>
          <w:szCs w:val="30"/>
          <w:lang w:eastAsia="de-AT"/>
          <w14:ligatures w14:val="none"/>
        </w:rPr>
        <w:t>Anleihenbestände</w:t>
      </w:r>
      <w:proofErr w:type="spellEnd"/>
      <w:r w:rsidRPr="008E5AF1">
        <w:rPr>
          <w:rFonts w:ascii="Open Sans" w:eastAsia="Times New Roman" w:hAnsi="Open Sans" w:cs="Open Sans"/>
          <w:color w:val="555555"/>
          <w:kern w:val="0"/>
          <w:sz w:val="30"/>
          <w:szCs w:val="30"/>
          <w:lang w:eastAsia="de-AT"/>
          <w14:ligatures w14:val="none"/>
        </w:rPr>
        <w:t xml:space="preserve"> des öffentlichen Sektors, die derzeit etwa die Hälfte unserer Bilanz ausmachen, auf einen Paris-konformen Weg bringen können.</w:t>
      </w:r>
    </w:p>
    <w:p w14:paraId="134F202D" w14:textId="77777777" w:rsidR="008E5AF1" w:rsidRPr="008E5AF1" w:rsidRDefault="008E5AF1" w:rsidP="008E5AF1">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8E5AF1">
        <w:rPr>
          <w:rFonts w:ascii="Open Sans" w:eastAsia="Times New Roman" w:hAnsi="Open Sans" w:cs="Open Sans"/>
          <w:color w:val="555555"/>
          <w:kern w:val="0"/>
          <w:sz w:val="30"/>
          <w:szCs w:val="30"/>
          <w:lang w:eastAsia="de-AT"/>
          <w14:ligatures w14:val="none"/>
        </w:rPr>
        <w:t xml:space="preserve">Die Ausrichtung unserer großen </w:t>
      </w:r>
      <w:proofErr w:type="spellStart"/>
      <w:r w:rsidRPr="008E5AF1">
        <w:rPr>
          <w:rFonts w:ascii="Open Sans" w:eastAsia="Times New Roman" w:hAnsi="Open Sans" w:cs="Open Sans"/>
          <w:color w:val="555555"/>
          <w:kern w:val="0"/>
          <w:sz w:val="30"/>
          <w:szCs w:val="30"/>
          <w:lang w:eastAsia="de-AT"/>
          <w14:ligatures w14:val="none"/>
        </w:rPr>
        <w:t>Anleihenbestände</w:t>
      </w:r>
      <w:proofErr w:type="spellEnd"/>
      <w:r w:rsidRPr="008E5AF1">
        <w:rPr>
          <w:rFonts w:ascii="Open Sans" w:eastAsia="Times New Roman" w:hAnsi="Open Sans" w:cs="Open Sans"/>
          <w:color w:val="555555"/>
          <w:kern w:val="0"/>
          <w:sz w:val="30"/>
          <w:szCs w:val="30"/>
          <w:lang w:eastAsia="de-AT"/>
          <w14:ligatures w14:val="none"/>
        </w:rPr>
        <w:t xml:space="preserve"> des öffentlichen Sektors an den Zielen des Pariser Abkommens </w:t>
      </w:r>
      <w:r w:rsidRPr="008E5AF1">
        <w:rPr>
          <w:rFonts w:ascii="Open Sans" w:eastAsia="Times New Roman" w:hAnsi="Open Sans" w:cs="Open Sans"/>
          <w:color w:val="555555"/>
          <w:kern w:val="0"/>
          <w:sz w:val="30"/>
          <w:szCs w:val="30"/>
          <w:lang w:eastAsia="de-AT"/>
          <w14:ligatures w14:val="none"/>
        </w:rPr>
        <w:lastRenderedPageBreak/>
        <w:t xml:space="preserve">erweist sich aus verschiedenen Gründen als schwierig. Erstens orientieren sich Käufe von Staatsanleihen am Kapitalschlüssel, der den Spielraum für Kippstrategien auf der Grundlage der Kohlenstoffintensität der Länder einschränkt. Zweitens gibt es noch keinen verlässlichen Rahmen, um zu beurteilen, inwieweit Staatsanleiheportfolios mit dem Pariser Abkommen im Einklang stehen. Und schließlich ist die Menge an grünen Staatsanleihen immer noch begrenzt, insbesondere im Vergleich zur Größe unseres aktuellen </w:t>
      </w:r>
      <w:proofErr w:type="spellStart"/>
      <w:r w:rsidRPr="008E5AF1">
        <w:rPr>
          <w:rFonts w:ascii="Open Sans" w:eastAsia="Times New Roman" w:hAnsi="Open Sans" w:cs="Open Sans"/>
          <w:color w:val="555555"/>
          <w:kern w:val="0"/>
          <w:sz w:val="30"/>
          <w:szCs w:val="30"/>
          <w:lang w:eastAsia="de-AT"/>
          <w14:ligatures w14:val="none"/>
        </w:rPr>
        <w:t>Anleihenportfolios</w:t>
      </w:r>
      <w:proofErr w:type="spellEnd"/>
      <w:r w:rsidRPr="008E5AF1">
        <w:rPr>
          <w:rFonts w:ascii="Open Sans" w:eastAsia="Times New Roman" w:hAnsi="Open Sans" w:cs="Open Sans"/>
          <w:color w:val="555555"/>
          <w:kern w:val="0"/>
          <w:sz w:val="30"/>
          <w:szCs w:val="30"/>
          <w:lang w:eastAsia="de-AT"/>
          <w14:ligatures w14:val="none"/>
        </w:rPr>
        <w:t>.</w:t>
      </w:r>
    </w:p>
    <w:p w14:paraId="5D9219D7" w14:textId="77777777" w:rsidR="008E5AF1" w:rsidRPr="008E5AF1" w:rsidRDefault="008E5AF1" w:rsidP="008E5AF1">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8E5AF1">
        <w:rPr>
          <w:rFonts w:ascii="Open Sans" w:eastAsia="Times New Roman" w:hAnsi="Open Sans" w:cs="Open Sans"/>
          <w:color w:val="555555"/>
          <w:kern w:val="0"/>
          <w:sz w:val="30"/>
          <w:szCs w:val="30"/>
          <w:lang w:eastAsia="de-AT"/>
          <w14:ligatures w14:val="none"/>
        </w:rPr>
        <w:t xml:space="preserve">Es ist von entscheidender Bedeutung, Optionen zur Überwindung dieser Einschränkungen im Rahmen unseres Mandats zu finden: Jeder Versuch, den Bestand unserer Anleihebestände umweltfreundlicher zu gestalten, muss eine Lösung für unser </w:t>
      </w:r>
      <w:proofErr w:type="spellStart"/>
      <w:r w:rsidRPr="008E5AF1">
        <w:rPr>
          <w:rFonts w:ascii="Open Sans" w:eastAsia="Times New Roman" w:hAnsi="Open Sans" w:cs="Open Sans"/>
          <w:color w:val="555555"/>
          <w:kern w:val="0"/>
          <w:sz w:val="30"/>
          <w:szCs w:val="30"/>
          <w:lang w:eastAsia="de-AT"/>
          <w14:ligatures w14:val="none"/>
        </w:rPr>
        <w:t>Staatsanleihenportfolio</w:t>
      </w:r>
      <w:proofErr w:type="spellEnd"/>
      <w:r w:rsidRPr="008E5AF1">
        <w:rPr>
          <w:rFonts w:ascii="Open Sans" w:eastAsia="Times New Roman" w:hAnsi="Open Sans" w:cs="Open Sans"/>
          <w:color w:val="555555"/>
          <w:kern w:val="0"/>
          <w:sz w:val="30"/>
          <w:szCs w:val="30"/>
          <w:lang w:eastAsia="de-AT"/>
          <w14:ligatures w14:val="none"/>
        </w:rPr>
        <w:t xml:space="preserve"> beinhalten, insbesondere im Lichte der Überprüfung des künftigen operativen Rahmens der EZB Dies impliziert wahrscheinlich eine größere Steady-State-Bilanz, möglicherweise einschließlich eines strukturellen </w:t>
      </w:r>
      <w:proofErr w:type="spellStart"/>
      <w:r w:rsidRPr="008E5AF1">
        <w:rPr>
          <w:rFonts w:ascii="Open Sans" w:eastAsia="Times New Roman" w:hAnsi="Open Sans" w:cs="Open Sans"/>
          <w:color w:val="555555"/>
          <w:kern w:val="0"/>
          <w:sz w:val="30"/>
          <w:szCs w:val="30"/>
          <w:lang w:eastAsia="de-AT"/>
          <w14:ligatures w14:val="none"/>
        </w:rPr>
        <w:t>Anleihenportfolios</w:t>
      </w:r>
      <w:proofErr w:type="spellEnd"/>
      <w:r w:rsidRPr="008E5AF1">
        <w:rPr>
          <w:rFonts w:ascii="Open Sans" w:eastAsia="Times New Roman" w:hAnsi="Open Sans" w:cs="Open Sans"/>
          <w:color w:val="555555"/>
          <w:kern w:val="0"/>
          <w:sz w:val="30"/>
          <w:szCs w:val="30"/>
          <w:lang w:eastAsia="de-AT"/>
          <w14:ligatures w14:val="none"/>
        </w:rPr>
        <w:t>.</w:t>
      </w:r>
    </w:p>
    <w:p w14:paraId="48F62F7C" w14:textId="77777777" w:rsidR="008E5AF1" w:rsidRPr="008E5AF1" w:rsidRDefault="008E5AF1" w:rsidP="008E5AF1">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8E5AF1">
        <w:rPr>
          <w:rFonts w:ascii="Open Sans" w:eastAsia="Times New Roman" w:hAnsi="Open Sans" w:cs="Open Sans"/>
          <w:color w:val="555555"/>
          <w:kern w:val="0"/>
          <w:sz w:val="30"/>
          <w:szCs w:val="30"/>
          <w:lang w:eastAsia="de-AT"/>
          <w14:ligatures w14:val="none"/>
        </w:rPr>
        <w:t xml:space="preserve">Derzeit gibt es zwei Möglichkeiten, unser </w:t>
      </w:r>
      <w:proofErr w:type="spellStart"/>
      <w:r w:rsidRPr="008E5AF1">
        <w:rPr>
          <w:rFonts w:ascii="Open Sans" w:eastAsia="Times New Roman" w:hAnsi="Open Sans" w:cs="Open Sans"/>
          <w:color w:val="555555"/>
          <w:kern w:val="0"/>
          <w:sz w:val="30"/>
          <w:szCs w:val="30"/>
          <w:lang w:eastAsia="de-AT"/>
          <w14:ligatures w14:val="none"/>
        </w:rPr>
        <w:t>Staatsanleihenportfolio</w:t>
      </w:r>
      <w:proofErr w:type="spellEnd"/>
      <w:r w:rsidRPr="008E5AF1">
        <w:rPr>
          <w:rFonts w:ascii="Open Sans" w:eastAsia="Times New Roman" w:hAnsi="Open Sans" w:cs="Open Sans"/>
          <w:color w:val="555555"/>
          <w:kern w:val="0"/>
          <w:sz w:val="30"/>
          <w:szCs w:val="30"/>
          <w:lang w:eastAsia="de-AT"/>
          <w14:ligatures w14:val="none"/>
        </w:rPr>
        <w:t xml:space="preserve"> zeitnah grüner zu gestalten.</w:t>
      </w:r>
    </w:p>
    <w:p w14:paraId="278894D8" w14:textId="77777777" w:rsidR="008E5AF1" w:rsidRPr="008E5AF1" w:rsidRDefault="008E5AF1" w:rsidP="008E5AF1">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8E5AF1">
        <w:rPr>
          <w:rFonts w:ascii="Open Sans" w:eastAsia="Times New Roman" w:hAnsi="Open Sans" w:cs="Open Sans"/>
          <w:color w:val="555555"/>
          <w:kern w:val="0"/>
          <w:sz w:val="30"/>
          <w:szCs w:val="30"/>
          <w:lang w:eastAsia="de-AT"/>
          <w14:ligatures w14:val="none"/>
        </w:rPr>
        <w:t>Eine besteht darin, den Anteil der von supranationalen Institutionen und Agenturen ausgegebenen Anleihen zu erhöhen. Ein erheblich größerer Teil ihrer ausstehenden Anleihen ist bereits grün (Folie 7).</w:t>
      </w:r>
    </w:p>
    <w:p w14:paraId="3DC2F26B" w14:textId="77777777" w:rsidR="008E5AF1" w:rsidRPr="008E5AF1" w:rsidRDefault="008E5AF1" w:rsidP="008E5AF1">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8E5AF1">
        <w:rPr>
          <w:rFonts w:ascii="Open Sans" w:eastAsia="Times New Roman" w:hAnsi="Open Sans" w:cs="Open Sans"/>
          <w:color w:val="555555"/>
          <w:kern w:val="0"/>
          <w:sz w:val="30"/>
          <w:szCs w:val="30"/>
          <w:lang w:eastAsia="de-AT"/>
          <w14:ligatures w14:val="none"/>
        </w:rPr>
        <w:t>Eine Ausrichtung unserer Käufe auf grüne Anleihen supranationaler Institutionen und Agenturen stünde im Einklang mit den Zielen des Pariser Abkommens und stünde nicht im Widerspruch zur Vorgabe, sich am Kapitalschlüssel zu orientieren.</w:t>
      </w:r>
    </w:p>
    <w:p w14:paraId="7ADAC570" w14:textId="77777777" w:rsidR="008E5AF1" w:rsidRPr="008E5AF1" w:rsidRDefault="008E5AF1" w:rsidP="008E5AF1">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8E5AF1">
        <w:rPr>
          <w:rFonts w:ascii="Open Sans" w:eastAsia="Times New Roman" w:hAnsi="Open Sans" w:cs="Open Sans"/>
          <w:color w:val="555555"/>
          <w:kern w:val="0"/>
          <w:sz w:val="30"/>
          <w:szCs w:val="30"/>
          <w:lang w:eastAsia="de-AT"/>
          <w14:ligatures w14:val="none"/>
        </w:rPr>
        <w:lastRenderedPageBreak/>
        <w:t xml:space="preserve">Die zweite, ergänzende Option besteht darin, unser </w:t>
      </w:r>
      <w:proofErr w:type="spellStart"/>
      <w:r w:rsidRPr="008E5AF1">
        <w:rPr>
          <w:rFonts w:ascii="Open Sans" w:eastAsia="Times New Roman" w:hAnsi="Open Sans" w:cs="Open Sans"/>
          <w:color w:val="555555"/>
          <w:kern w:val="0"/>
          <w:sz w:val="30"/>
          <w:szCs w:val="30"/>
          <w:lang w:eastAsia="de-AT"/>
          <w14:ligatures w14:val="none"/>
        </w:rPr>
        <w:t>Staatsanleihenportfolio</w:t>
      </w:r>
      <w:proofErr w:type="spellEnd"/>
      <w:r w:rsidRPr="008E5AF1">
        <w:rPr>
          <w:rFonts w:ascii="Open Sans" w:eastAsia="Times New Roman" w:hAnsi="Open Sans" w:cs="Open Sans"/>
          <w:color w:val="555555"/>
          <w:kern w:val="0"/>
          <w:sz w:val="30"/>
          <w:szCs w:val="30"/>
          <w:lang w:eastAsia="de-AT"/>
          <w14:ligatures w14:val="none"/>
        </w:rPr>
        <w:t xml:space="preserve"> kontinuierlich in Richtung grüner Anleihen umzuschichten, da die Regierungen ihr Angebot an grünen Anleihen im Laufe der Zeit erweitern.</w:t>
      </w:r>
    </w:p>
    <w:p w14:paraId="35D56056" w14:textId="77777777" w:rsidR="008E5AF1" w:rsidRPr="008E5AF1" w:rsidRDefault="008E5AF1" w:rsidP="008E5AF1">
      <w:pPr>
        <w:spacing w:before="750" w:after="300" w:line="485" w:lineRule="atLeast"/>
        <w:textAlignment w:val="baseline"/>
        <w:outlineLvl w:val="2"/>
        <w:rPr>
          <w:rFonts w:ascii="inherit" w:eastAsia="Times New Roman" w:hAnsi="inherit" w:cs="Open Sans"/>
          <w:b/>
          <w:bCs/>
          <w:color w:val="003299"/>
          <w:kern w:val="0"/>
          <w:sz w:val="36"/>
          <w:szCs w:val="36"/>
          <w:lang w:eastAsia="de-AT"/>
          <w14:ligatures w14:val="none"/>
        </w:rPr>
      </w:pPr>
      <w:r w:rsidRPr="008E5AF1">
        <w:rPr>
          <w:rFonts w:ascii="inherit" w:eastAsia="Times New Roman" w:hAnsi="inherit" w:cs="Open Sans"/>
          <w:b/>
          <w:bCs/>
          <w:color w:val="003299"/>
          <w:kern w:val="0"/>
          <w:sz w:val="36"/>
          <w:szCs w:val="36"/>
          <w:lang w:eastAsia="de-AT"/>
          <w14:ligatures w14:val="none"/>
        </w:rPr>
        <w:t>Ökologischere Kreditvergabe</w:t>
      </w:r>
    </w:p>
    <w:p w14:paraId="55DD8674" w14:textId="77777777" w:rsidR="008E5AF1" w:rsidRPr="008E5AF1" w:rsidRDefault="008E5AF1" w:rsidP="008E5AF1">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8E5AF1">
        <w:rPr>
          <w:rFonts w:ascii="Open Sans" w:eastAsia="Times New Roman" w:hAnsi="Open Sans" w:cs="Open Sans"/>
          <w:color w:val="555555"/>
          <w:kern w:val="0"/>
          <w:sz w:val="30"/>
          <w:szCs w:val="30"/>
          <w:lang w:eastAsia="de-AT"/>
          <w14:ligatures w14:val="none"/>
        </w:rPr>
        <w:t xml:space="preserve">Schließlich müssen wir unsere Bemühungen zur Ökologisierung unserer Kreditvergabe intensivieren, einschließlich des </w:t>
      </w:r>
      <w:proofErr w:type="spellStart"/>
      <w:r w:rsidRPr="008E5AF1">
        <w:rPr>
          <w:rFonts w:ascii="Open Sans" w:eastAsia="Times New Roman" w:hAnsi="Open Sans" w:cs="Open Sans"/>
          <w:color w:val="555555"/>
          <w:kern w:val="0"/>
          <w:sz w:val="30"/>
          <w:szCs w:val="30"/>
          <w:lang w:eastAsia="de-AT"/>
          <w14:ligatures w14:val="none"/>
        </w:rPr>
        <w:t>Sicherheitenrahmens</w:t>
      </w:r>
      <w:proofErr w:type="spellEnd"/>
      <w:r w:rsidRPr="008E5AF1">
        <w:rPr>
          <w:rFonts w:ascii="Open Sans" w:eastAsia="Times New Roman" w:hAnsi="Open Sans" w:cs="Open Sans"/>
          <w:color w:val="555555"/>
          <w:kern w:val="0"/>
          <w:sz w:val="30"/>
          <w:szCs w:val="30"/>
          <w:lang w:eastAsia="de-AT"/>
          <w14:ligatures w14:val="none"/>
        </w:rPr>
        <w:t>. Als ersten Schritt werden wir den Anteil der Vermögenswerte begrenzen, die von Unternehmen mit einem hohen CO2-Fußabdruck ausgegeben werden und die von einzelnen Geschäftspartnern als Sicherheit verpfändet werden können, wenn sie Kredite beim Eurosystem aufnehmen. Bei der Festlegung von Sicherheitsabschlägen für Unternehmensanleihen werden wir auch klimabedingte Risiken berücksichtigen.</w:t>
      </w:r>
    </w:p>
    <w:p w14:paraId="2E7BE75C" w14:textId="77777777" w:rsidR="008E5AF1" w:rsidRPr="008E5AF1" w:rsidRDefault="008E5AF1" w:rsidP="008E5AF1">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8E5AF1">
        <w:rPr>
          <w:rFonts w:ascii="Open Sans" w:eastAsia="Times New Roman" w:hAnsi="Open Sans" w:cs="Open Sans"/>
          <w:color w:val="555555"/>
          <w:kern w:val="0"/>
          <w:sz w:val="30"/>
          <w:szCs w:val="30"/>
          <w:lang w:eastAsia="de-AT"/>
          <w14:ligatures w14:val="none"/>
        </w:rPr>
        <w:t xml:space="preserve">Diese Maßnahmen werden jedoch nur geringe Auswirkungen </w:t>
      </w:r>
      <w:proofErr w:type="gramStart"/>
      <w:r w:rsidRPr="008E5AF1">
        <w:rPr>
          <w:rFonts w:ascii="Open Sans" w:eastAsia="Times New Roman" w:hAnsi="Open Sans" w:cs="Open Sans"/>
          <w:color w:val="555555"/>
          <w:kern w:val="0"/>
          <w:sz w:val="30"/>
          <w:szCs w:val="30"/>
          <w:lang w:eastAsia="de-AT"/>
          <w14:ligatures w14:val="none"/>
        </w:rPr>
        <w:t>auf</w:t>
      </w:r>
      <w:proofErr w:type="gramEnd"/>
      <w:r w:rsidRPr="008E5AF1">
        <w:rPr>
          <w:rFonts w:ascii="Open Sans" w:eastAsia="Times New Roman" w:hAnsi="Open Sans" w:cs="Open Sans"/>
          <w:color w:val="555555"/>
          <w:kern w:val="0"/>
          <w:sz w:val="30"/>
          <w:szCs w:val="30"/>
          <w:lang w:eastAsia="de-AT"/>
          <w14:ligatures w14:val="none"/>
        </w:rPr>
        <w:t xml:space="preserve"> die von unseren Kontrahenten insgesamt bereitgestellten Sicherheiten haben. Eine systematische Ökologisierung des </w:t>
      </w:r>
      <w:proofErr w:type="spellStart"/>
      <w:r w:rsidRPr="008E5AF1">
        <w:rPr>
          <w:rFonts w:ascii="Open Sans" w:eastAsia="Times New Roman" w:hAnsi="Open Sans" w:cs="Open Sans"/>
          <w:color w:val="555555"/>
          <w:kern w:val="0"/>
          <w:sz w:val="30"/>
          <w:szCs w:val="30"/>
          <w:lang w:eastAsia="de-AT"/>
          <w14:ligatures w14:val="none"/>
        </w:rPr>
        <w:t>Sicherheitenrahmens</w:t>
      </w:r>
      <w:proofErr w:type="spellEnd"/>
      <w:r w:rsidRPr="008E5AF1">
        <w:rPr>
          <w:rFonts w:ascii="Open Sans" w:eastAsia="Times New Roman" w:hAnsi="Open Sans" w:cs="Open Sans"/>
          <w:color w:val="555555"/>
          <w:kern w:val="0"/>
          <w:sz w:val="30"/>
          <w:szCs w:val="30"/>
          <w:lang w:eastAsia="de-AT"/>
          <w14:ligatures w14:val="none"/>
        </w:rPr>
        <w:t xml:space="preserve"> der EZB ist daher ein wichtiges Instrument, um sicherzustellen, dass alle unsere geldpolitischen Maßnahmen mit dem Pariser Abkommen in Einklang stehen, insbesondere in einem Umfeld, in dem wir begonnen haben, unsere Bilanz zu verkleinern, da dies die Auswahl an Optionen verringert verfügbar, um den grünen Übergang während des aktuellen Straffungszyklus zu unterstützen.</w:t>
      </w:r>
    </w:p>
    <w:p w14:paraId="62677861" w14:textId="77777777" w:rsidR="008E5AF1" w:rsidRPr="008E5AF1" w:rsidRDefault="008E5AF1" w:rsidP="008E5AF1">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8E5AF1">
        <w:rPr>
          <w:rFonts w:ascii="Open Sans" w:eastAsia="Times New Roman" w:hAnsi="Open Sans" w:cs="Open Sans"/>
          <w:color w:val="555555"/>
          <w:kern w:val="0"/>
          <w:sz w:val="30"/>
          <w:szCs w:val="30"/>
          <w:lang w:eastAsia="de-AT"/>
          <w14:ligatures w14:val="none"/>
        </w:rPr>
        <w:t xml:space="preserve">Beispielsweise könnten gezielte grüne Kreditvergaben in Zukunft ein erwägenswertes Instrument sein, wenn die Politik wieder expansiv werden muss, sofern die zugrunde liegenden Datenlücken geschlossen werden. Angesichts der aktuellen </w:t>
      </w:r>
      <w:r w:rsidRPr="008E5AF1">
        <w:rPr>
          <w:rFonts w:ascii="Open Sans" w:eastAsia="Times New Roman" w:hAnsi="Open Sans" w:cs="Open Sans"/>
          <w:color w:val="555555"/>
          <w:kern w:val="0"/>
          <w:sz w:val="30"/>
          <w:szCs w:val="30"/>
          <w:lang w:eastAsia="de-AT"/>
          <w14:ligatures w14:val="none"/>
        </w:rPr>
        <w:lastRenderedPageBreak/>
        <w:t>Notwendigkeit einer restriktiven Geldpolitik sind sie jedoch keine Option für die unmittelbare Zukunft.</w:t>
      </w:r>
    </w:p>
    <w:p w14:paraId="368217C7" w14:textId="77777777" w:rsidR="008E5AF1" w:rsidRPr="008E5AF1" w:rsidRDefault="008E5AF1" w:rsidP="008E5AF1">
      <w:pPr>
        <w:spacing w:before="750" w:after="300" w:line="582" w:lineRule="atLeast"/>
        <w:textAlignment w:val="baseline"/>
        <w:outlineLvl w:val="1"/>
        <w:rPr>
          <w:rFonts w:ascii="inherit" w:eastAsia="Times New Roman" w:hAnsi="inherit" w:cs="Open Sans"/>
          <w:b/>
          <w:bCs/>
          <w:color w:val="003299"/>
          <w:kern w:val="0"/>
          <w:sz w:val="42"/>
          <w:szCs w:val="42"/>
          <w:lang w:eastAsia="de-AT"/>
          <w14:ligatures w14:val="none"/>
        </w:rPr>
      </w:pPr>
      <w:r w:rsidRPr="008E5AF1">
        <w:rPr>
          <w:rFonts w:ascii="inherit" w:eastAsia="Times New Roman" w:hAnsi="inherit" w:cs="Open Sans"/>
          <w:b/>
          <w:bCs/>
          <w:color w:val="003299"/>
          <w:kern w:val="0"/>
          <w:sz w:val="42"/>
          <w:szCs w:val="42"/>
          <w:lang w:eastAsia="de-AT"/>
          <w14:ligatures w14:val="none"/>
        </w:rPr>
        <w:t>Abschluss</w:t>
      </w:r>
    </w:p>
    <w:p w14:paraId="37D6EE68" w14:textId="77777777" w:rsidR="008E5AF1" w:rsidRPr="008E5AF1" w:rsidRDefault="008E5AF1" w:rsidP="008E5AF1">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8E5AF1">
        <w:rPr>
          <w:rFonts w:ascii="Open Sans" w:eastAsia="Times New Roman" w:hAnsi="Open Sans" w:cs="Open Sans"/>
          <w:color w:val="555555"/>
          <w:kern w:val="0"/>
          <w:sz w:val="30"/>
          <w:szCs w:val="30"/>
          <w:lang w:eastAsia="de-AT"/>
          <w14:ligatures w14:val="none"/>
        </w:rPr>
        <w:t>Lassen Sie mich abschließen.</w:t>
      </w:r>
    </w:p>
    <w:p w14:paraId="4B84DFB3" w14:textId="77777777" w:rsidR="008E5AF1" w:rsidRPr="008E5AF1" w:rsidRDefault="008E5AF1" w:rsidP="008E5AF1">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8E5AF1">
        <w:rPr>
          <w:rFonts w:ascii="Open Sans" w:eastAsia="Times New Roman" w:hAnsi="Open Sans" w:cs="Open Sans"/>
          <w:color w:val="555555"/>
          <w:kern w:val="0"/>
          <w:sz w:val="30"/>
          <w:szCs w:val="30"/>
          <w:lang w:eastAsia="de-AT"/>
          <w14:ligatures w14:val="none"/>
        </w:rPr>
        <w:t>Viele Zentralbanken weltweit reagieren auf die derzeit hohe Inflation mit einer Verschärfung der Finanzierungsbedingungen. Während höhere Kreditkosten die Finanzierung erneuerbarer Energien und grüner Technologien verteuern, wäre es aus zwei Hauptgründen irreführend, höhere Zinsen als Sündenbock für eine weitere Verzögerung des grünen Wandels herbeizurufen:</w:t>
      </w:r>
    </w:p>
    <w:p w14:paraId="4386C0A7" w14:textId="77777777" w:rsidR="008E5AF1" w:rsidRPr="008E5AF1" w:rsidRDefault="008E5AF1" w:rsidP="008E5AF1">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8E5AF1">
        <w:rPr>
          <w:rFonts w:ascii="Open Sans" w:eastAsia="Times New Roman" w:hAnsi="Open Sans" w:cs="Open Sans"/>
          <w:color w:val="555555"/>
          <w:kern w:val="0"/>
          <w:sz w:val="30"/>
          <w:szCs w:val="30"/>
          <w:lang w:eastAsia="de-AT"/>
          <w14:ligatures w14:val="none"/>
        </w:rPr>
        <w:t>Erstens schafft die rechtzeitige Wiederherstellung der Preisstabilität die Voraussetzungen, unter denen der grüne Wandel nachhaltig gedeihen kann. Und zweitens bleibt das größte Hindernis für eine schnelle Dekarbonisierung der mangelnde Fortschritt der Regierungen bei der Umsetzung früherer Klimaverpflichtungen.</w:t>
      </w:r>
    </w:p>
    <w:p w14:paraId="23998C5A" w14:textId="77777777" w:rsidR="008E5AF1" w:rsidRPr="008E5AF1" w:rsidRDefault="008E5AF1" w:rsidP="008E5AF1">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8E5AF1">
        <w:rPr>
          <w:rFonts w:ascii="Open Sans" w:eastAsia="Times New Roman" w:hAnsi="Open Sans" w:cs="Open Sans"/>
          <w:color w:val="555555"/>
          <w:kern w:val="0"/>
          <w:sz w:val="30"/>
          <w:szCs w:val="30"/>
          <w:lang w:eastAsia="de-AT"/>
          <w14:ligatures w14:val="none"/>
        </w:rPr>
        <w:t>Die Regierungen müssen bei der Beschleunigung des grünen Wandels weiterhin eine Vorreiterrolle spielen. Durch die Förderung grüner Technologien und erneuerbarer Energien steigern sie die Produktionskapazität der Wirtschaft und tragen so dazu bei, mittelfristig die Preisstabilität wiederherzustellen.</w:t>
      </w:r>
    </w:p>
    <w:p w14:paraId="54AA2FB0" w14:textId="77777777" w:rsidR="008E5AF1" w:rsidRPr="008E5AF1" w:rsidRDefault="008E5AF1" w:rsidP="008E5AF1">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8E5AF1">
        <w:rPr>
          <w:rFonts w:ascii="Open Sans" w:eastAsia="Times New Roman" w:hAnsi="Open Sans" w:cs="Open Sans"/>
          <w:color w:val="555555"/>
          <w:kern w:val="0"/>
          <w:sz w:val="30"/>
          <w:szCs w:val="30"/>
          <w:lang w:eastAsia="de-AT"/>
          <w14:ligatures w14:val="none"/>
        </w:rPr>
        <w:t>Im Einklang mit unserem Auftrag sind wir bereit, unsere Bemühungen zur Unterstützung des Kampfes gegen den Klimawandel weiter zu intensivieren und dabei auf den Erfolgen unseres Aktionsplans zum Klimawandel aufzubauen.</w:t>
      </w:r>
    </w:p>
    <w:p w14:paraId="1FF4485C" w14:textId="77777777" w:rsidR="008E5AF1" w:rsidRPr="008E5AF1" w:rsidRDefault="008E5AF1" w:rsidP="008E5AF1">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8E5AF1">
        <w:rPr>
          <w:rFonts w:ascii="Open Sans" w:eastAsia="Times New Roman" w:hAnsi="Open Sans" w:cs="Open Sans"/>
          <w:color w:val="555555"/>
          <w:kern w:val="0"/>
          <w:sz w:val="30"/>
          <w:szCs w:val="30"/>
          <w:lang w:eastAsia="de-AT"/>
          <w14:ligatures w14:val="none"/>
        </w:rPr>
        <w:lastRenderedPageBreak/>
        <w:t xml:space="preserve">Unser langfristiges Ziel besteht darin, sicherzustellen, dass alle unsere geldpolitischen Maßnahmen mit den Zielen des Pariser Abkommens im Einklang stehen. Dies bedeutet, dass wir unseren Bestand an Anleihen, einschließlich Anleihen des öffentlichen Sektors, sowie unsere Kreditvergabe und unseren </w:t>
      </w:r>
      <w:proofErr w:type="spellStart"/>
      <w:r w:rsidRPr="008E5AF1">
        <w:rPr>
          <w:rFonts w:ascii="Open Sans" w:eastAsia="Times New Roman" w:hAnsi="Open Sans" w:cs="Open Sans"/>
          <w:color w:val="555555"/>
          <w:kern w:val="0"/>
          <w:sz w:val="30"/>
          <w:szCs w:val="30"/>
          <w:lang w:eastAsia="de-AT"/>
          <w14:ligatures w14:val="none"/>
        </w:rPr>
        <w:t>Sicherheitenrahmen</w:t>
      </w:r>
      <w:proofErr w:type="spellEnd"/>
      <w:r w:rsidRPr="008E5AF1">
        <w:rPr>
          <w:rFonts w:ascii="Open Sans" w:eastAsia="Times New Roman" w:hAnsi="Open Sans" w:cs="Open Sans"/>
          <w:color w:val="555555"/>
          <w:kern w:val="0"/>
          <w:sz w:val="30"/>
          <w:szCs w:val="30"/>
          <w:lang w:eastAsia="de-AT"/>
          <w14:ligatures w14:val="none"/>
        </w:rPr>
        <w:t xml:space="preserve"> umweltfreundlicher gestalten.</w:t>
      </w:r>
    </w:p>
    <w:p w14:paraId="7988A798" w14:textId="77777777" w:rsidR="008E5AF1" w:rsidRPr="008E5AF1" w:rsidRDefault="008E5AF1" w:rsidP="008E5AF1">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8E5AF1">
        <w:rPr>
          <w:rFonts w:ascii="Open Sans" w:eastAsia="Times New Roman" w:hAnsi="Open Sans" w:cs="Open Sans"/>
          <w:color w:val="555555"/>
          <w:kern w:val="0"/>
          <w:sz w:val="30"/>
          <w:szCs w:val="30"/>
          <w:lang w:eastAsia="de-AT"/>
          <w14:ligatures w14:val="none"/>
        </w:rPr>
        <w:t>Eine grünere Geldpolitik erfordert eher strukturelle Veränderungen unseres geldpolitischen Rahmens als Anpassungen unserer Reaktionsfunktion.</w:t>
      </w:r>
    </w:p>
    <w:p w14:paraId="0A925893" w14:textId="77777777" w:rsidR="008E5AF1" w:rsidRPr="008E5AF1" w:rsidRDefault="008E5AF1" w:rsidP="008E5AF1">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8E5AF1">
        <w:rPr>
          <w:rFonts w:ascii="Open Sans" w:eastAsia="Times New Roman" w:hAnsi="Open Sans" w:cs="Open Sans"/>
          <w:color w:val="555555"/>
          <w:kern w:val="0"/>
          <w:sz w:val="30"/>
          <w:szCs w:val="30"/>
          <w:lang w:eastAsia="de-AT"/>
          <w14:ligatures w14:val="none"/>
        </w:rPr>
        <w:t xml:space="preserve">Die heutige Wiederherstellung der Preisstabilität durch eine angemessene Geldpolitik wird der Gesellschaft langfristig </w:t>
      </w:r>
      <w:proofErr w:type="spellStart"/>
      <w:proofErr w:type="gramStart"/>
      <w:r w:rsidRPr="008E5AF1">
        <w:rPr>
          <w:rFonts w:ascii="Open Sans" w:eastAsia="Times New Roman" w:hAnsi="Open Sans" w:cs="Open Sans"/>
          <w:color w:val="555555"/>
          <w:kern w:val="0"/>
          <w:sz w:val="30"/>
          <w:szCs w:val="30"/>
          <w:lang w:eastAsia="de-AT"/>
          <w14:ligatures w14:val="none"/>
        </w:rPr>
        <w:t>zugute kommen</w:t>
      </w:r>
      <w:proofErr w:type="spellEnd"/>
      <w:proofErr w:type="gramEnd"/>
      <w:r w:rsidRPr="008E5AF1">
        <w:rPr>
          <w:rFonts w:ascii="Open Sans" w:eastAsia="Times New Roman" w:hAnsi="Open Sans" w:cs="Open Sans"/>
          <w:color w:val="555555"/>
          <w:kern w:val="0"/>
          <w:sz w:val="30"/>
          <w:szCs w:val="30"/>
          <w:lang w:eastAsia="de-AT"/>
          <w14:ligatures w14:val="none"/>
        </w:rPr>
        <w:t xml:space="preserve"> und den Übergang zu einer umweltfreundlicheren Wirtschaft erleichtern.</w:t>
      </w:r>
    </w:p>
    <w:p w14:paraId="2B5CB7AD" w14:textId="77777777" w:rsidR="008E5AF1" w:rsidRPr="008E5AF1" w:rsidRDefault="008E5AF1" w:rsidP="008E5AF1">
      <w:pPr>
        <w:spacing w:after="0" w:line="240" w:lineRule="auto"/>
        <w:textAlignment w:val="baseline"/>
        <w:rPr>
          <w:rFonts w:ascii="Open Sans" w:eastAsia="Times New Roman" w:hAnsi="Open Sans" w:cs="Open Sans"/>
          <w:color w:val="555555"/>
          <w:kern w:val="0"/>
          <w:sz w:val="30"/>
          <w:szCs w:val="30"/>
          <w:lang w:eastAsia="de-AT"/>
          <w14:ligatures w14:val="none"/>
        </w:rPr>
      </w:pPr>
      <w:r w:rsidRPr="008E5AF1">
        <w:rPr>
          <w:rFonts w:ascii="Open Sans" w:eastAsia="Times New Roman" w:hAnsi="Open Sans" w:cs="Open Sans"/>
          <w:color w:val="555555"/>
          <w:kern w:val="0"/>
          <w:sz w:val="30"/>
          <w:szCs w:val="30"/>
          <w:lang w:eastAsia="de-AT"/>
          <w14:ligatures w14:val="none"/>
        </w:rPr>
        <w:t>Danke schön.</w:t>
      </w:r>
    </w:p>
    <w:p w14:paraId="1EFF2B23" w14:textId="77777777" w:rsidR="008E5AF1" w:rsidRPr="008E5AF1" w:rsidRDefault="008E5AF1" w:rsidP="008E5AF1">
      <w:pPr>
        <w:shd w:val="clear" w:color="auto" w:fill="F1F1F1"/>
        <w:spacing w:after="150" w:line="450" w:lineRule="atLeast"/>
        <w:textAlignment w:val="baseline"/>
        <w:rPr>
          <w:rFonts w:ascii="Open Sans" w:eastAsia="Times New Roman" w:hAnsi="Open Sans" w:cs="Open Sans"/>
          <w:b/>
          <w:bCs/>
          <w:color w:val="555555"/>
          <w:kern w:val="0"/>
          <w:sz w:val="30"/>
          <w:szCs w:val="30"/>
          <w:lang w:eastAsia="de-AT"/>
          <w14:ligatures w14:val="none"/>
        </w:rPr>
      </w:pPr>
      <w:r w:rsidRPr="008E5AF1">
        <w:rPr>
          <w:rFonts w:ascii="Open Sans" w:eastAsia="Times New Roman" w:hAnsi="Open Sans" w:cs="Open Sans"/>
          <w:b/>
          <w:bCs/>
          <w:color w:val="555555"/>
          <w:kern w:val="0"/>
          <w:sz w:val="30"/>
          <w:szCs w:val="30"/>
          <w:lang w:eastAsia="de-AT"/>
          <w14:ligatures w14:val="none"/>
        </w:rPr>
        <w:t>Anhänge</w:t>
      </w:r>
    </w:p>
    <w:p w14:paraId="3E269589" w14:textId="77777777" w:rsidR="008E5AF1" w:rsidRPr="008E5AF1" w:rsidRDefault="008E5AF1" w:rsidP="008E5AF1">
      <w:pPr>
        <w:pBdr>
          <w:top w:val="single" w:sz="2" w:space="8" w:color="EEEEEE"/>
        </w:pBdr>
        <w:shd w:val="clear" w:color="auto" w:fill="FBFBFB"/>
        <w:spacing w:after="0" w:line="450" w:lineRule="atLeast"/>
        <w:textAlignment w:val="baseline"/>
        <w:rPr>
          <w:rFonts w:ascii="inherit" w:eastAsia="Times New Roman" w:hAnsi="inherit" w:cs="Open Sans"/>
          <w:color w:val="003299"/>
          <w:kern w:val="0"/>
          <w:sz w:val="30"/>
          <w:szCs w:val="30"/>
          <w:lang w:eastAsia="de-AT"/>
          <w14:ligatures w14:val="none"/>
        </w:rPr>
      </w:pPr>
      <w:r w:rsidRPr="008E5AF1">
        <w:rPr>
          <w:rFonts w:ascii="inherit" w:eastAsia="Times New Roman" w:hAnsi="inherit" w:cs="Open Sans"/>
          <w:color w:val="003299"/>
          <w:kern w:val="0"/>
          <w:sz w:val="30"/>
          <w:szCs w:val="30"/>
          <w:lang w:eastAsia="de-AT"/>
          <w14:ligatures w14:val="none"/>
        </w:rPr>
        <w:t>10. Januar 2023</w:t>
      </w:r>
    </w:p>
    <w:p w14:paraId="69438EF8" w14:textId="77777777" w:rsidR="008E5AF1" w:rsidRPr="008E5AF1" w:rsidRDefault="00337522" w:rsidP="008E5AF1">
      <w:pPr>
        <w:pBdr>
          <w:top w:val="single" w:sz="2" w:space="8" w:color="EEEEEE"/>
        </w:pBdr>
        <w:shd w:val="clear" w:color="auto" w:fill="FBFBFB"/>
        <w:spacing w:after="0" w:line="450" w:lineRule="atLeast"/>
        <w:ind w:left="720"/>
        <w:textAlignment w:val="baseline"/>
        <w:rPr>
          <w:rFonts w:ascii="inherit" w:eastAsia="Times New Roman" w:hAnsi="inherit" w:cs="Open Sans"/>
          <w:color w:val="555555"/>
          <w:kern w:val="0"/>
          <w:sz w:val="30"/>
          <w:szCs w:val="30"/>
          <w:lang w:eastAsia="de-AT"/>
          <w14:ligatures w14:val="none"/>
        </w:rPr>
      </w:pPr>
      <w:hyperlink r:id="rId21" w:history="1">
        <w:r w:rsidR="008E5AF1" w:rsidRPr="008E5AF1">
          <w:rPr>
            <w:rFonts w:ascii="inherit" w:eastAsia="Times New Roman" w:hAnsi="inherit" w:cs="Open Sans"/>
            <w:color w:val="328DD2"/>
            <w:kern w:val="0"/>
            <w:sz w:val="30"/>
            <w:szCs w:val="30"/>
            <w:bdr w:val="none" w:sz="0" w:space="0" w:color="auto" w:frame="1"/>
            <w:lang w:eastAsia="de-AT"/>
            <w14:ligatures w14:val="none"/>
          </w:rPr>
          <w:t>Folien</w:t>
        </w:r>
      </w:hyperlink>
    </w:p>
    <w:p w14:paraId="5FD0B701" w14:textId="77777777" w:rsidR="008E5AF1" w:rsidRPr="008E5AF1" w:rsidRDefault="00337522" w:rsidP="008E5AF1">
      <w:pPr>
        <w:pBdr>
          <w:top w:val="single" w:sz="2" w:space="8" w:color="EEEEEE"/>
        </w:pBdr>
        <w:shd w:val="clear" w:color="auto" w:fill="FBFBFB"/>
        <w:spacing w:line="340" w:lineRule="atLeast"/>
        <w:ind w:left="720"/>
        <w:textAlignment w:val="baseline"/>
        <w:rPr>
          <w:rFonts w:ascii="inherit" w:eastAsia="Times New Roman" w:hAnsi="inherit" w:cs="Open Sans"/>
          <w:color w:val="000000"/>
          <w:kern w:val="0"/>
          <w:sz w:val="21"/>
          <w:szCs w:val="21"/>
          <w:lang w:eastAsia="de-AT"/>
          <w14:ligatures w14:val="none"/>
        </w:rPr>
      </w:pPr>
      <w:hyperlink r:id="rId22" w:history="1">
        <w:r w:rsidR="008E5AF1" w:rsidRPr="008E5AF1">
          <w:rPr>
            <w:rFonts w:ascii="inherit" w:eastAsia="Times New Roman" w:hAnsi="inherit" w:cs="Open Sans"/>
            <w:caps/>
            <w:color w:val="000000"/>
            <w:kern w:val="0"/>
            <w:sz w:val="18"/>
            <w:szCs w:val="18"/>
            <w:bdr w:val="none" w:sz="0" w:space="0" w:color="auto" w:frame="1"/>
            <w:lang w:val="en" w:eastAsia="de-AT"/>
            <w14:ligatures w14:val="none"/>
          </w:rPr>
          <w:t>ENGLISCH</w:t>
        </w:r>
      </w:hyperlink>
    </w:p>
    <w:p w14:paraId="65098551" w14:textId="77777777" w:rsidR="008E5AF1" w:rsidRPr="008E5AF1" w:rsidRDefault="008E5AF1" w:rsidP="008E5AF1">
      <w:pPr>
        <w:numPr>
          <w:ilvl w:val="0"/>
          <w:numId w:val="1"/>
        </w:numPr>
        <w:spacing w:after="0" w:line="388" w:lineRule="atLeast"/>
        <w:textAlignment w:val="baseline"/>
        <w:rPr>
          <w:rFonts w:ascii="Open Sans" w:eastAsia="Times New Roman" w:hAnsi="Open Sans" w:cs="Open Sans"/>
          <w:color w:val="555555"/>
          <w:kern w:val="0"/>
          <w:sz w:val="24"/>
          <w:szCs w:val="24"/>
          <w:lang w:eastAsia="de-AT"/>
          <w14:ligatures w14:val="none"/>
        </w:rPr>
      </w:pPr>
      <w:r w:rsidRPr="008E5AF1">
        <w:rPr>
          <w:rFonts w:ascii="Open Sans" w:eastAsia="Times New Roman" w:hAnsi="Open Sans" w:cs="Open Sans"/>
          <w:color w:val="555555"/>
          <w:kern w:val="0"/>
          <w:sz w:val="24"/>
          <w:szCs w:val="24"/>
          <w:lang w:eastAsia="de-AT"/>
          <w14:ligatures w14:val="none"/>
        </w:rPr>
        <w:t>Ich möchte Benjamin Hartung für seinen Beitrag zu dieser Rede danken.</w:t>
      </w:r>
    </w:p>
    <w:p w14:paraId="394C5A1B" w14:textId="77777777" w:rsidR="008E5AF1" w:rsidRPr="008E5AF1" w:rsidRDefault="008E5AF1" w:rsidP="008E5AF1">
      <w:pPr>
        <w:numPr>
          <w:ilvl w:val="0"/>
          <w:numId w:val="1"/>
        </w:numPr>
        <w:spacing w:after="0" w:line="388" w:lineRule="atLeast"/>
        <w:textAlignment w:val="baseline"/>
        <w:rPr>
          <w:rFonts w:ascii="Open Sans" w:eastAsia="Times New Roman" w:hAnsi="Open Sans" w:cs="Open Sans"/>
          <w:color w:val="555555"/>
          <w:kern w:val="0"/>
          <w:sz w:val="24"/>
          <w:szCs w:val="24"/>
          <w:lang w:eastAsia="de-AT"/>
          <w14:ligatures w14:val="none"/>
        </w:rPr>
      </w:pPr>
      <w:r w:rsidRPr="008E5AF1">
        <w:rPr>
          <w:rFonts w:ascii="Open Sans" w:eastAsia="Times New Roman" w:hAnsi="Open Sans" w:cs="Open Sans"/>
          <w:color w:val="555555"/>
          <w:kern w:val="0"/>
          <w:sz w:val="24"/>
          <w:szCs w:val="24"/>
          <w:lang w:eastAsia="de-AT"/>
          <w14:ligatures w14:val="none"/>
        </w:rPr>
        <w:t>Siehe zum Beispiel Egli, F. et al. (2018), „Eine dynamische Analyse der Finanzierungsbedingungen für erneuerbare Energietechnologien“, </w:t>
      </w:r>
      <w:r w:rsidRPr="008E5AF1">
        <w:rPr>
          <w:rFonts w:ascii="inherit" w:eastAsia="Times New Roman" w:hAnsi="inherit" w:cs="Open Sans"/>
          <w:i/>
          <w:iCs/>
          <w:color w:val="555555"/>
          <w:kern w:val="0"/>
          <w:sz w:val="24"/>
          <w:szCs w:val="24"/>
          <w:bdr w:val="none" w:sz="0" w:space="0" w:color="auto" w:frame="1"/>
          <w:lang w:eastAsia="de-AT"/>
          <w14:ligatures w14:val="none"/>
        </w:rPr>
        <w:t xml:space="preserve">Nature </w:t>
      </w:r>
      <w:proofErr w:type="gramStart"/>
      <w:r w:rsidRPr="008E5AF1">
        <w:rPr>
          <w:rFonts w:ascii="inherit" w:eastAsia="Times New Roman" w:hAnsi="inherit" w:cs="Open Sans"/>
          <w:i/>
          <w:iCs/>
          <w:color w:val="555555"/>
          <w:kern w:val="0"/>
          <w:sz w:val="24"/>
          <w:szCs w:val="24"/>
          <w:bdr w:val="none" w:sz="0" w:space="0" w:color="auto" w:frame="1"/>
          <w:lang w:eastAsia="de-AT"/>
          <w14:ligatures w14:val="none"/>
        </w:rPr>
        <w:t>Energy</w:t>
      </w:r>
      <w:r w:rsidRPr="008E5AF1">
        <w:rPr>
          <w:rFonts w:ascii="Open Sans" w:eastAsia="Times New Roman" w:hAnsi="Open Sans" w:cs="Open Sans"/>
          <w:color w:val="555555"/>
          <w:kern w:val="0"/>
          <w:sz w:val="24"/>
          <w:szCs w:val="24"/>
          <w:lang w:eastAsia="de-AT"/>
          <w14:ligatures w14:val="none"/>
        </w:rPr>
        <w:t> ,</w:t>
      </w:r>
      <w:proofErr w:type="gramEnd"/>
      <w:r w:rsidRPr="008E5AF1">
        <w:rPr>
          <w:rFonts w:ascii="Open Sans" w:eastAsia="Times New Roman" w:hAnsi="Open Sans" w:cs="Open Sans"/>
          <w:color w:val="555555"/>
          <w:kern w:val="0"/>
          <w:sz w:val="24"/>
          <w:szCs w:val="24"/>
          <w:lang w:eastAsia="de-AT"/>
          <w14:ligatures w14:val="none"/>
        </w:rPr>
        <w:t xml:space="preserve"> Bd. 3, S. 1084-1092. Die „Stromgestehungskosten“ sind ein Maß für die durchschnittlichen gegenwärtigen Nettostromkosten einer Stromerzeugungsanlage während ihrer Lebensdauer.</w:t>
      </w:r>
    </w:p>
    <w:p w14:paraId="412983F1" w14:textId="77777777" w:rsidR="008E5AF1" w:rsidRPr="008E5AF1" w:rsidRDefault="008E5AF1" w:rsidP="008E5AF1">
      <w:pPr>
        <w:numPr>
          <w:ilvl w:val="0"/>
          <w:numId w:val="1"/>
        </w:numPr>
        <w:spacing w:after="0" w:line="388" w:lineRule="atLeast"/>
        <w:textAlignment w:val="baseline"/>
        <w:rPr>
          <w:rFonts w:ascii="Open Sans" w:eastAsia="Times New Roman" w:hAnsi="Open Sans" w:cs="Open Sans"/>
          <w:color w:val="555555"/>
          <w:kern w:val="0"/>
          <w:sz w:val="24"/>
          <w:szCs w:val="24"/>
          <w:lang w:eastAsia="de-AT"/>
          <w14:ligatures w14:val="none"/>
        </w:rPr>
      </w:pPr>
      <w:r w:rsidRPr="008E5AF1">
        <w:rPr>
          <w:rFonts w:ascii="Open Sans" w:eastAsia="Times New Roman" w:hAnsi="Open Sans" w:cs="Open Sans"/>
          <w:color w:val="555555"/>
          <w:kern w:val="0"/>
          <w:sz w:val="24"/>
          <w:szCs w:val="24"/>
          <w:lang w:eastAsia="de-AT"/>
          <w14:ligatures w14:val="none"/>
        </w:rPr>
        <w:t>Fraunhofer-Institut für Solare Energiesysteme (2021), „ </w:t>
      </w:r>
      <w:hyperlink r:id="rId23" w:history="1">
        <w:r w:rsidRPr="008E5AF1">
          <w:rPr>
            <w:rFonts w:ascii="Open Sans" w:eastAsia="Times New Roman" w:hAnsi="Open Sans" w:cs="Open Sans"/>
            <w:color w:val="2B7AB6"/>
            <w:kern w:val="0"/>
            <w:sz w:val="24"/>
            <w:szCs w:val="24"/>
            <w:bdr w:val="none" w:sz="0" w:space="0" w:color="auto" w:frame="1"/>
            <w:lang w:eastAsia="de-AT"/>
            <w14:ligatures w14:val="none"/>
          </w:rPr>
          <w:t>Studie: Stromgestehungskosten – Erneuerbare Energietechnologien</w:t>
        </w:r>
      </w:hyperlink>
      <w:r w:rsidRPr="008E5AF1">
        <w:rPr>
          <w:rFonts w:ascii="Open Sans" w:eastAsia="Times New Roman" w:hAnsi="Open Sans" w:cs="Open Sans"/>
          <w:color w:val="555555"/>
          <w:kern w:val="0"/>
          <w:sz w:val="24"/>
          <w:szCs w:val="24"/>
          <w:lang w:eastAsia="de-AT"/>
          <w14:ligatures w14:val="none"/>
        </w:rPr>
        <w:t> “, Juni.</w:t>
      </w:r>
    </w:p>
    <w:p w14:paraId="70B78EFD" w14:textId="77777777" w:rsidR="008E5AF1" w:rsidRPr="008E5AF1" w:rsidRDefault="008E5AF1" w:rsidP="008E5AF1">
      <w:pPr>
        <w:numPr>
          <w:ilvl w:val="0"/>
          <w:numId w:val="1"/>
        </w:numPr>
        <w:spacing w:after="0" w:line="388" w:lineRule="atLeast"/>
        <w:textAlignment w:val="baseline"/>
        <w:rPr>
          <w:rFonts w:ascii="Open Sans" w:eastAsia="Times New Roman" w:hAnsi="Open Sans" w:cs="Open Sans"/>
          <w:color w:val="555555"/>
          <w:kern w:val="0"/>
          <w:sz w:val="24"/>
          <w:szCs w:val="24"/>
          <w:lang w:eastAsia="de-AT"/>
          <w14:ligatures w14:val="none"/>
        </w:rPr>
      </w:pPr>
      <w:proofErr w:type="spellStart"/>
      <w:r w:rsidRPr="008E5AF1">
        <w:rPr>
          <w:rFonts w:ascii="Open Sans" w:eastAsia="Times New Roman" w:hAnsi="Open Sans" w:cs="Open Sans"/>
          <w:color w:val="555555"/>
          <w:kern w:val="0"/>
          <w:sz w:val="24"/>
          <w:szCs w:val="24"/>
          <w:lang w:eastAsia="de-AT"/>
          <w14:ligatures w14:val="none"/>
        </w:rPr>
        <w:t>Monnin</w:t>
      </w:r>
      <w:proofErr w:type="spellEnd"/>
      <w:r w:rsidRPr="008E5AF1">
        <w:rPr>
          <w:rFonts w:ascii="Open Sans" w:eastAsia="Times New Roman" w:hAnsi="Open Sans" w:cs="Open Sans"/>
          <w:color w:val="555555"/>
          <w:kern w:val="0"/>
          <w:sz w:val="24"/>
          <w:szCs w:val="24"/>
          <w:lang w:eastAsia="de-AT"/>
          <w14:ligatures w14:val="none"/>
        </w:rPr>
        <w:t xml:space="preserve"> (2015) stellt fest, dass bei Zinsniveaus über 2 % die durchschnittlichen Stromerzeugungskosten für grüne Energietechnologien höher sind. Siehe </w:t>
      </w:r>
      <w:proofErr w:type="spellStart"/>
      <w:r w:rsidRPr="008E5AF1">
        <w:rPr>
          <w:rFonts w:ascii="Open Sans" w:eastAsia="Times New Roman" w:hAnsi="Open Sans" w:cs="Open Sans"/>
          <w:color w:val="555555"/>
          <w:kern w:val="0"/>
          <w:sz w:val="24"/>
          <w:szCs w:val="24"/>
          <w:lang w:eastAsia="de-AT"/>
          <w14:ligatures w14:val="none"/>
        </w:rPr>
        <w:t>Monnin</w:t>
      </w:r>
      <w:proofErr w:type="spellEnd"/>
      <w:r w:rsidRPr="008E5AF1">
        <w:rPr>
          <w:rFonts w:ascii="Open Sans" w:eastAsia="Times New Roman" w:hAnsi="Open Sans" w:cs="Open Sans"/>
          <w:color w:val="555555"/>
          <w:kern w:val="0"/>
          <w:sz w:val="24"/>
          <w:szCs w:val="24"/>
          <w:lang w:eastAsia="de-AT"/>
          <w14:ligatures w14:val="none"/>
        </w:rPr>
        <w:t>, P. (2015), „ </w:t>
      </w:r>
      <w:hyperlink r:id="rId24" w:history="1">
        <w:r w:rsidRPr="008E5AF1">
          <w:rPr>
            <w:rFonts w:ascii="Open Sans" w:eastAsia="Times New Roman" w:hAnsi="Open Sans" w:cs="Open Sans"/>
            <w:color w:val="2B7AB6"/>
            <w:kern w:val="0"/>
            <w:sz w:val="24"/>
            <w:szCs w:val="24"/>
            <w:bdr w:val="none" w:sz="0" w:space="0" w:color="auto" w:frame="1"/>
            <w:lang w:eastAsia="de-AT"/>
            <w14:ligatures w14:val="none"/>
          </w:rPr>
          <w:t xml:space="preserve">The Impact </w:t>
        </w:r>
        <w:proofErr w:type="spellStart"/>
        <w:r w:rsidRPr="008E5AF1">
          <w:rPr>
            <w:rFonts w:ascii="Open Sans" w:eastAsia="Times New Roman" w:hAnsi="Open Sans" w:cs="Open Sans"/>
            <w:color w:val="2B7AB6"/>
            <w:kern w:val="0"/>
            <w:sz w:val="24"/>
            <w:szCs w:val="24"/>
            <w:bdr w:val="none" w:sz="0" w:space="0" w:color="auto" w:frame="1"/>
            <w:lang w:eastAsia="de-AT"/>
            <w14:ligatures w14:val="none"/>
          </w:rPr>
          <w:t>of</w:t>
        </w:r>
        <w:proofErr w:type="spellEnd"/>
        <w:r w:rsidRPr="008E5AF1">
          <w:rPr>
            <w:rFonts w:ascii="Open Sans" w:eastAsia="Times New Roman" w:hAnsi="Open Sans" w:cs="Open Sans"/>
            <w:color w:val="2B7AB6"/>
            <w:kern w:val="0"/>
            <w:sz w:val="24"/>
            <w:szCs w:val="24"/>
            <w:bdr w:val="none" w:sz="0" w:space="0" w:color="auto" w:frame="1"/>
            <w:lang w:eastAsia="de-AT"/>
            <w14:ligatures w14:val="none"/>
          </w:rPr>
          <w:t xml:space="preserve"> </w:t>
        </w:r>
        <w:r w:rsidRPr="008E5AF1">
          <w:rPr>
            <w:rFonts w:ascii="Open Sans" w:eastAsia="Times New Roman" w:hAnsi="Open Sans" w:cs="Open Sans"/>
            <w:color w:val="2B7AB6"/>
            <w:kern w:val="0"/>
            <w:sz w:val="24"/>
            <w:szCs w:val="24"/>
            <w:bdr w:val="none" w:sz="0" w:space="0" w:color="auto" w:frame="1"/>
            <w:lang w:eastAsia="de-AT"/>
            <w14:ligatures w14:val="none"/>
          </w:rPr>
          <w:lastRenderedPageBreak/>
          <w:t xml:space="preserve">Interest Rates on </w:t>
        </w:r>
        <w:proofErr w:type="spellStart"/>
        <w:r w:rsidRPr="008E5AF1">
          <w:rPr>
            <w:rFonts w:ascii="Open Sans" w:eastAsia="Times New Roman" w:hAnsi="Open Sans" w:cs="Open Sans"/>
            <w:color w:val="2B7AB6"/>
            <w:kern w:val="0"/>
            <w:sz w:val="24"/>
            <w:szCs w:val="24"/>
            <w:bdr w:val="none" w:sz="0" w:space="0" w:color="auto" w:frame="1"/>
            <w:lang w:eastAsia="de-AT"/>
            <w14:ligatures w14:val="none"/>
          </w:rPr>
          <w:t>Electricity</w:t>
        </w:r>
        <w:proofErr w:type="spellEnd"/>
        <w:r w:rsidRPr="008E5AF1">
          <w:rPr>
            <w:rFonts w:ascii="Open Sans" w:eastAsia="Times New Roman" w:hAnsi="Open Sans" w:cs="Open Sans"/>
            <w:color w:val="2B7AB6"/>
            <w:kern w:val="0"/>
            <w:sz w:val="24"/>
            <w:szCs w:val="24"/>
            <w:bdr w:val="none" w:sz="0" w:space="0" w:color="auto" w:frame="1"/>
            <w:lang w:eastAsia="de-AT"/>
            <w14:ligatures w14:val="none"/>
          </w:rPr>
          <w:t xml:space="preserve"> </w:t>
        </w:r>
        <w:proofErr w:type="spellStart"/>
        <w:r w:rsidRPr="008E5AF1">
          <w:rPr>
            <w:rFonts w:ascii="Open Sans" w:eastAsia="Times New Roman" w:hAnsi="Open Sans" w:cs="Open Sans"/>
            <w:color w:val="2B7AB6"/>
            <w:kern w:val="0"/>
            <w:sz w:val="24"/>
            <w:szCs w:val="24"/>
            <w:bdr w:val="none" w:sz="0" w:space="0" w:color="auto" w:frame="1"/>
            <w:lang w:eastAsia="de-AT"/>
            <w14:ligatures w14:val="none"/>
          </w:rPr>
          <w:t>Production</w:t>
        </w:r>
        <w:proofErr w:type="spellEnd"/>
        <w:r w:rsidRPr="008E5AF1">
          <w:rPr>
            <w:rFonts w:ascii="Open Sans" w:eastAsia="Times New Roman" w:hAnsi="Open Sans" w:cs="Open Sans"/>
            <w:color w:val="2B7AB6"/>
            <w:kern w:val="0"/>
            <w:sz w:val="24"/>
            <w:szCs w:val="24"/>
            <w:bdr w:val="none" w:sz="0" w:space="0" w:color="auto" w:frame="1"/>
            <w:lang w:eastAsia="de-AT"/>
            <w14:ligatures w14:val="none"/>
          </w:rPr>
          <w:t xml:space="preserve"> Costs</w:t>
        </w:r>
      </w:hyperlink>
      <w:r w:rsidRPr="008E5AF1">
        <w:rPr>
          <w:rFonts w:ascii="Open Sans" w:eastAsia="Times New Roman" w:hAnsi="Open Sans" w:cs="Open Sans"/>
          <w:color w:val="555555"/>
          <w:kern w:val="0"/>
          <w:sz w:val="24"/>
          <w:szCs w:val="24"/>
          <w:lang w:eastAsia="de-AT"/>
          <w14:ligatures w14:val="none"/>
        </w:rPr>
        <w:t> “, </w:t>
      </w:r>
      <w:r w:rsidRPr="008E5AF1">
        <w:rPr>
          <w:rFonts w:ascii="inherit" w:eastAsia="Times New Roman" w:hAnsi="inherit" w:cs="Open Sans"/>
          <w:i/>
          <w:iCs/>
          <w:color w:val="555555"/>
          <w:kern w:val="0"/>
          <w:sz w:val="24"/>
          <w:szCs w:val="24"/>
          <w:bdr w:val="none" w:sz="0" w:space="0" w:color="auto" w:frame="1"/>
          <w:lang w:eastAsia="de-AT"/>
          <w14:ligatures w14:val="none"/>
        </w:rPr>
        <w:t xml:space="preserve">CEP </w:t>
      </w:r>
      <w:proofErr w:type="spellStart"/>
      <w:r w:rsidRPr="008E5AF1">
        <w:rPr>
          <w:rFonts w:ascii="inherit" w:eastAsia="Times New Roman" w:hAnsi="inherit" w:cs="Open Sans"/>
          <w:i/>
          <w:iCs/>
          <w:color w:val="555555"/>
          <w:kern w:val="0"/>
          <w:sz w:val="24"/>
          <w:szCs w:val="24"/>
          <w:bdr w:val="none" w:sz="0" w:space="0" w:color="auto" w:frame="1"/>
          <w:lang w:eastAsia="de-AT"/>
          <w14:ligatures w14:val="none"/>
        </w:rPr>
        <w:t>Discussion</w:t>
      </w:r>
      <w:proofErr w:type="spellEnd"/>
      <w:r w:rsidRPr="008E5AF1">
        <w:rPr>
          <w:rFonts w:ascii="inherit" w:eastAsia="Times New Roman" w:hAnsi="inherit" w:cs="Open Sans"/>
          <w:i/>
          <w:iCs/>
          <w:color w:val="555555"/>
          <w:kern w:val="0"/>
          <w:sz w:val="24"/>
          <w:szCs w:val="24"/>
          <w:bdr w:val="none" w:sz="0" w:space="0" w:color="auto" w:frame="1"/>
          <w:lang w:eastAsia="de-AT"/>
          <w14:ligatures w14:val="none"/>
        </w:rPr>
        <w:t xml:space="preserve"> Note,</w:t>
      </w:r>
      <w:r w:rsidRPr="008E5AF1">
        <w:rPr>
          <w:rFonts w:ascii="Open Sans" w:eastAsia="Times New Roman" w:hAnsi="Open Sans" w:cs="Open Sans"/>
          <w:color w:val="555555"/>
          <w:kern w:val="0"/>
          <w:sz w:val="24"/>
          <w:szCs w:val="24"/>
          <w:lang w:eastAsia="de-AT"/>
          <w14:ligatures w14:val="none"/>
        </w:rPr>
        <w:t> 2015/3, Juni.</w:t>
      </w:r>
    </w:p>
    <w:p w14:paraId="4CF562F7" w14:textId="77777777" w:rsidR="008E5AF1" w:rsidRPr="008E5AF1" w:rsidRDefault="008E5AF1" w:rsidP="008E5AF1">
      <w:pPr>
        <w:numPr>
          <w:ilvl w:val="0"/>
          <w:numId w:val="1"/>
        </w:numPr>
        <w:spacing w:after="0" w:line="388" w:lineRule="atLeast"/>
        <w:textAlignment w:val="baseline"/>
        <w:rPr>
          <w:rFonts w:ascii="Open Sans" w:eastAsia="Times New Roman" w:hAnsi="Open Sans" w:cs="Open Sans"/>
          <w:color w:val="555555"/>
          <w:kern w:val="0"/>
          <w:sz w:val="24"/>
          <w:szCs w:val="24"/>
          <w:lang w:eastAsia="de-AT"/>
          <w14:ligatures w14:val="none"/>
        </w:rPr>
      </w:pPr>
      <w:r w:rsidRPr="008E5AF1">
        <w:rPr>
          <w:rFonts w:ascii="Open Sans" w:eastAsia="Times New Roman" w:hAnsi="Open Sans" w:cs="Open Sans"/>
          <w:color w:val="555555"/>
          <w:kern w:val="0"/>
          <w:sz w:val="24"/>
          <w:szCs w:val="24"/>
          <w:lang w:eastAsia="de-AT"/>
          <w14:ligatures w14:val="none"/>
        </w:rPr>
        <w:t>Internationale Energieagentur (2020), „ </w:t>
      </w:r>
      <w:hyperlink r:id="rId25" w:history="1">
        <w:r w:rsidRPr="008E5AF1">
          <w:rPr>
            <w:rFonts w:ascii="Open Sans" w:eastAsia="Times New Roman" w:hAnsi="Open Sans" w:cs="Open Sans"/>
            <w:color w:val="2B7AB6"/>
            <w:kern w:val="0"/>
            <w:sz w:val="24"/>
            <w:szCs w:val="24"/>
            <w:bdr w:val="none" w:sz="0" w:space="0" w:color="auto" w:frame="1"/>
            <w:lang w:eastAsia="de-AT"/>
            <w14:ligatures w14:val="none"/>
          </w:rPr>
          <w:t>Prognostizierte Kosten der Stromerzeugung 2020</w:t>
        </w:r>
      </w:hyperlink>
      <w:r w:rsidRPr="008E5AF1">
        <w:rPr>
          <w:rFonts w:ascii="Open Sans" w:eastAsia="Times New Roman" w:hAnsi="Open Sans" w:cs="Open Sans"/>
          <w:color w:val="555555"/>
          <w:kern w:val="0"/>
          <w:sz w:val="24"/>
          <w:szCs w:val="24"/>
          <w:lang w:eastAsia="de-AT"/>
          <w14:ligatures w14:val="none"/>
        </w:rPr>
        <w:t> “, Dezember. Siehe auch Schmidt, TS et al. (2019), „Nachteilige Auswirkungen steigender Zinssätze auf nachhaltige Energiewende“, </w:t>
      </w:r>
      <w:r w:rsidRPr="008E5AF1">
        <w:rPr>
          <w:rFonts w:ascii="inherit" w:eastAsia="Times New Roman" w:hAnsi="inherit" w:cs="Open Sans"/>
          <w:i/>
          <w:iCs/>
          <w:color w:val="555555"/>
          <w:kern w:val="0"/>
          <w:sz w:val="24"/>
          <w:szCs w:val="24"/>
          <w:bdr w:val="none" w:sz="0" w:space="0" w:color="auto" w:frame="1"/>
          <w:lang w:eastAsia="de-AT"/>
          <w14:ligatures w14:val="none"/>
        </w:rPr>
        <w:t xml:space="preserve">Nature </w:t>
      </w:r>
      <w:proofErr w:type="spellStart"/>
      <w:proofErr w:type="gramStart"/>
      <w:r w:rsidRPr="008E5AF1">
        <w:rPr>
          <w:rFonts w:ascii="inherit" w:eastAsia="Times New Roman" w:hAnsi="inherit" w:cs="Open Sans"/>
          <w:i/>
          <w:iCs/>
          <w:color w:val="555555"/>
          <w:kern w:val="0"/>
          <w:sz w:val="24"/>
          <w:szCs w:val="24"/>
          <w:bdr w:val="none" w:sz="0" w:space="0" w:color="auto" w:frame="1"/>
          <w:lang w:eastAsia="de-AT"/>
          <w14:ligatures w14:val="none"/>
        </w:rPr>
        <w:t>Sustainability</w:t>
      </w:r>
      <w:proofErr w:type="spellEnd"/>
      <w:r w:rsidRPr="008E5AF1">
        <w:rPr>
          <w:rFonts w:ascii="Open Sans" w:eastAsia="Times New Roman" w:hAnsi="Open Sans" w:cs="Open Sans"/>
          <w:color w:val="555555"/>
          <w:kern w:val="0"/>
          <w:sz w:val="24"/>
          <w:szCs w:val="24"/>
          <w:lang w:eastAsia="de-AT"/>
          <w14:ligatures w14:val="none"/>
        </w:rPr>
        <w:t> ,</w:t>
      </w:r>
      <w:proofErr w:type="gramEnd"/>
      <w:r w:rsidRPr="008E5AF1">
        <w:rPr>
          <w:rFonts w:ascii="Open Sans" w:eastAsia="Times New Roman" w:hAnsi="Open Sans" w:cs="Open Sans"/>
          <w:color w:val="555555"/>
          <w:kern w:val="0"/>
          <w:sz w:val="24"/>
          <w:szCs w:val="24"/>
          <w:lang w:eastAsia="de-AT"/>
          <w14:ligatures w14:val="none"/>
        </w:rPr>
        <w:t xml:space="preserve"> Bd. 2, S. 879–885.</w:t>
      </w:r>
    </w:p>
    <w:p w14:paraId="7CE27CA9" w14:textId="77777777" w:rsidR="008E5AF1" w:rsidRPr="008E5AF1" w:rsidRDefault="008E5AF1" w:rsidP="008E5AF1">
      <w:pPr>
        <w:numPr>
          <w:ilvl w:val="0"/>
          <w:numId w:val="1"/>
        </w:numPr>
        <w:spacing w:after="0" w:line="388" w:lineRule="atLeast"/>
        <w:textAlignment w:val="baseline"/>
        <w:rPr>
          <w:rFonts w:ascii="Open Sans" w:eastAsia="Times New Roman" w:hAnsi="Open Sans" w:cs="Open Sans"/>
          <w:color w:val="555555"/>
          <w:kern w:val="0"/>
          <w:sz w:val="24"/>
          <w:szCs w:val="24"/>
          <w:lang w:eastAsia="de-AT"/>
          <w14:ligatures w14:val="none"/>
        </w:rPr>
      </w:pPr>
      <w:r w:rsidRPr="008E5AF1">
        <w:rPr>
          <w:rFonts w:ascii="Open Sans" w:eastAsia="Times New Roman" w:hAnsi="Open Sans" w:cs="Open Sans"/>
          <w:color w:val="555555"/>
          <w:kern w:val="0"/>
          <w:sz w:val="24"/>
          <w:szCs w:val="24"/>
          <w:lang w:eastAsia="de-AT"/>
          <w14:ligatures w14:val="none"/>
        </w:rPr>
        <w:t>Siehe zum Beispiel Durante, E. et al. (2022), „</w:t>
      </w:r>
      <w:proofErr w:type="spellStart"/>
      <w:r w:rsidRPr="008E5AF1">
        <w:rPr>
          <w:rFonts w:ascii="Open Sans" w:eastAsia="Times New Roman" w:hAnsi="Open Sans" w:cs="Open Sans"/>
          <w:color w:val="555555"/>
          <w:kern w:val="0"/>
          <w:sz w:val="24"/>
          <w:szCs w:val="24"/>
          <w:lang w:eastAsia="de-AT"/>
          <w14:ligatures w14:val="none"/>
        </w:rPr>
        <w:t>Monetary</w:t>
      </w:r>
      <w:proofErr w:type="spellEnd"/>
      <w:r w:rsidRPr="008E5AF1">
        <w:rPr>
          <w:rFonts w:ascii="Open Sans" w:eastAsia="Times New Roman" w:hAnsi="Open Sans" w:cs="Open Sans"/>
          <w:color w:val="555555"/>
          <w:kern w:val="0"/>
          <w:sz w:val="24"/>
          <w:szCs w:val="24"/>
          <w:lang w:eastAsia="de-AT"/>
          <w14:ligatures w14:val="none"/>
        </w:rPr>
        <w:t xml:space="preserve"> Policy, Investment and Firm </w:t>
      </w:r>
      <w:proofErr w:type="spellStart"/>
      <w:r w:rsidRPr="008E5AF1">
        <w:rPr>
          <w:rFonts w:ascii="Open Sans" w:eastAsia="Times New Roman" w:hAnsi="Open Sans" w:cs="Open Sans"/>
          <w:color w:val="555555"/>
          <w:kern w:val="0"/>
          <w:sz w:val="24"/>
          <w:szCs w:val="24"/>
          <w:lang w:eastAsia="de-AT"/>
          <w14:ligatures w14:val="none"/>
        </w:rPr>
        <w:t>Heterogenity</w:t>
      </w:r>
      <w:proofErr w:type="spellEnd"/>
      <w:r w:rsidRPr="008E5AF1">
        <w:rPr>
          <w:rFonts w:ascii="Open Sans" w:eastAsia="Times New Roman" w:hAnsi="Open Sans" w:cs="Open Sans"/>
          <w:color w:val="555555"/>
          <w:kern w:val="0"/>
          <w:sz w:val="24"/>
          <w:szCs w:val="24"/>
          <w:lang w:eastAsia="de-AT"/>
          <w14:ligatures w14:val="none"/>
        </w:rPr>
        <w:t xml:space="preserve">“, European </w:t>
      </w:r>
      <w:proofErr w:type="spellStart"/>
      <w:r w:rsidRPr="008E5AF1">
        <w:rPr>
          <w:rFonts w:ascii="Open Sans" w:eastAsia="Times New Roman" w:hAnsi="Open Sans" w:cs="Open Sans"/>
          <w:color w:val="555555"/>
          <w:kern w:val="0"/>
          <w:sz w:val="24"/>
          <w:szCs w:val="24"/>
          <w:lang w:eastAsia="de-AT"/>
          <w14:ligatures w14:val="none"/>
        </w:rPr>
        <w:t>Economic</w:t>
      </w:r>
      <w:proofErr w:type="spellEnd"/>
      <w:r w:rsidRPr="008E5AF1">
        <w:rPr>
          <w:rFonts w:ascii="Open Sans" w:eastAsia="Times New Roman" w:hAnsi="Open Sans" w:cs="Open Sans"/>
          <w:color w:val="555555"/>
          <w:kern w:val="0"/>
          <w:sz w:val="24"/>
          <w:szCs w:val="24"/>
          <w:lang w:eastAsia="de-AT"/>
          <w14:ligatures w14:val="none"/>
        </w:rPr>
        <w:t xml:space="preserve"> Review, Bd. 148, 104251; und Auer, S. et al. (2021), „Corporate </w:t>
      </w:r>
      <w:proofErr w:type="spellStart"/>
      <w:r w:rsidRPr="008E5AF1">
        <w:rPr>
          <w:rFonts w:ascii="Open Sans" w:eastAsia="Times New Roman" w:hAnsi="Open Sans" w:cs="Open Sans"/>
          <w:color w:val="555555"/>
          <w:kern w:val="0"/>
          <w:sz w:val="24"/>
          <w:szCs w:val="24"/>
          <w:lang w:eastAsia="de-AT"/>
          <w14:ligatures w14:val="none"/>
        </w:rPr>
        <w:t>Leverage</w:t>
      </w:r>
      <w:proofErr w:type="spellEnd"/>
      <w:r w:rsidRPr="008E5AF1">
        <w:rPr>
          <w:rFonts w:ascii="Open Sans" w:eastAsia="Times New Roman" w:hAnsi="Open Sans" w:cs="Open Sans"/>
          <w:color w:val="555555"/>
          <w:kern w:val="0"/>
          <w:sz w:val="24"/>
          <w:szCs w:val="24"/>
          <w:lang w:eastAsia="de-AT"/>
          <w14:ligatures w14:val="none"/>
        </w:rPr>
        <w:t xml:space="preserve"> and Money Policy </w:t>
      </w:r>
      <w:proofErr w:type="spellStart"/>
      <w:r w:rsidRPr="008E5AF1">
        <w:rPr>
          <w:rFonts w:ascii="Open Sans" w:eastAsia="Times New Roman" w:hAnsi="Open Sans" w:cs="Open Sans"/>
          <w:color w:val="555555"/>
          <w:kern w:val="0"/>
          <w:sz w:val="24"/>
          <w:szCs w:val="24"/>
          <w:lang w:eastAsia="de-AT"/>
          <w14:ligatures w14:val="none"/>
        </w:rPr>
        <w:t>Effectiveness</w:t>
      </w:r>
      <w:proofErr w:type="spellEnd"/>
      <w:r w:rsidRPr="008E5AF1">
        <w:rPr>
          <w:rFonts w:ascii="Open Sans" w:eastAsia="Times New Roman" w:hAnsi="Open Sans" w:cs="Open Sans"/>
          <w:color w:val="555555"/>
          <w:kern w:val="0"/>
          <w:sz w:val="24"/>
          <w:szCs w:val="24"/>
          <w:lang w:eastAsia="de-AT"/>
          <w14:ligatures w14:val="none"/>
        </w:rPr>
        <w:t xml:space="preserve"> in </w:t>
      </w:r>
      <w:proofErr w:type="spellStart"/>
      <w:r w:rsidRPr="008E5AF1">
        <w:rPr>
          <w:rFonts w:ascii="Open Sans" w:eastAsia="Times New Roman" w:hAnsi="Open Sans" w:cs="Open Sans"/>
          <w:color w:val="555555"/>
          <w:kern w:val="0"/>
          <w:sz w:val="24"/>
          <w:szCs w:val="24"/>
          <w:lang w:eastAsia="de-AT"/>
          <w14:ligatures w14:val="none"/>
        </w:rPr>
        <w:t>the</w:t>
      </w:r>
      <w:proofErr w:type="spellEnd"/>
      <w:r w:rsidRPr="008E5AF1">
        <w:rPr>
          <w:rFonts w:ascii="Open Sans" w:eastAsia="Times New Roman" w:hAnsi="Open Sans" w:cs="Open Sans"/>
          <w:color w:val="555555"/>
          <w:kern w:val="0"/>
          <w:sz w:val="24"/>
          <w:szCs w:val="24"/>
          <w:lang w:eastAsia="de-AT"/>
          <w14:ligatures w14:val="none"/>
        </w:rPr>
        <w:t xml:space="preserve"> Euro Area“, </w:t>
      </w:r>
      <w:r w:rsidRPr="008E5AF1">
        <w:rPr>
          <w:rFonts w:ascii="inherit" w:eastAsia="Times New Roman" w:hAnsi="inherit" w:cs="Open Sans"/>
          <w:i/>
          <w:iCs/>
          <w:color w:val="555555"/>
          <w:kern w:val="0"/>
          <w:sz w:val="24"/>
          <w:szCs w:val="24"/>
          <w:bdr w:val="none" w:sz="0" w:space="0" w:color="auto" w:frame="1"/>
          <w:lang w:eastAsia="de-AT"/>
          <w14:ligatures w14:val="none"/>
        </w:rPr>
        <w:t xml:space="preserve">European </w:t>
      </w:r>
      <w:proofErr w:type="spellStart"/>
      <w:r w:rsidRPr="008E5AF1">
        <w:rPr>
          <w:rFonts w:ascii="inherit" w:eastAsia="Times New Roman" w:hAnsi="inherit" w:cs="Open Sans"/>
          <w:i/>
          <w:iCs/>
          <w:color w:val="555555"/>
          <w:kern w:val="0"/>
          <w:sz w:val="24"/>
          <w:szCs w:val="24"/>
          <w:bdr w:val="none" w:sz="0" w:space="0" w:color="auto" w:frame="1"/>
          <w:lang w:eastAsia="de-AT"/>
          <w14:ligatures w14:val="none"/>
        </w:rPr>
        <w:t>Economic</w:t>
      </w:r>
      <w:proofErr w:type="spellEnd"/>
      <w:r w:rsidRPr="008E5AF1">
        <w:rPr>
          <w:rFonts w:ascii="inherit" w:eastAsia="Times New Roman" w:hAnsi="inherit" w:cs="Open Sans"/>
          <w:i/>
          <w:iCs/>
          <w:color w:val="555555"/>
          <w:kern w:val="0"/>
          <w:sz w:val="24"/>
          <w:szCs w:val="24"/>
          <w:bdr w:val="none" w:sz="0" w:space="0" w:color="auto" w:frame="1"/>
          <w:lang w:eastAsia="de-AT"/>
          <w14:ligatures w14:val="none"/>
        </w:rPr>
        <w:t xml:space="preserve"> </w:t>
      </w:r>
      <w:proofErr w:type="gramStart"/>
      <w:r w:rsidRPr="008E5AF1">
        <w:rPr>
          <w:rFonts w:ascii="inherit" w:eastAsia="Times New Roman" w:hAnsi="inherit" w:cs="Open Sans"/>
          <w:i/>
          <w:iCs/>
          <w:color w:val="555555"/>
          <w:kern w:val="0"/>
          <w:sz w:val="24"/>
          <w:szCs w:val="24"/>
          <w:bdr w:val="none" w:sz="0" w:space="0" w:color="auto" w:frame="1"/>
          <w:lang w:eastAsia="de-AT"/>
          <w14:ligatures w14:val="none"/>
        </w:rPr>
        <w:t>Review</w:t>
      </w:r>
      <w:r w:rsidRPr="008E5AF1">
        <w:rPr>
          <w:rFonts w:ascii="Open Sans" w:eastAsia="Times New Roman" w:hAnsi="Open Sans" w:cs="Open Sans"/>
          <w:color w:val="555555"/>
          <w:kern w:val="0"/>
          <w:sz w:val="24"/>
          <w:szCs w:val="24"/>
          <w:lang w:eastAsia="de-AT"/>
          <w14:ligatures w14:val="none"/>
        </w:rPr>
        <w:t> ,</w:t>
      </w:r>
      <w:proofErr w:type="gramEnd"/>
      <w:r w:rsidRPr="008E5AF1">
        <w:rPr>
          <w:rFonts w:ascii="Open Sans" w:eastAsia="Times New Roman" w:hAnsi="Open Sans" w:cs="Open Sans"/>
          <w:color w:val="555555"/>
          <w:kern w:val="0"/>
          <w:sz w:val="24"/>
          <w:szCs w:val="24"/>
          <w:lang w:eastAsia="de-AT"/>
          <w14:ligatures w14:val="none"/>
        </w:rPr>
        <w:t xml:space="preserve"> Bd. 140, Nr. 103943, November.</w:t>
      </w:r>
    </w:p>
    <w:p w14:paraId="17D564EB" w14:textId="77777777" w:rsidR="008E5AF1" w:rsidRPr="008E5AF1" w:rsidRDefault="008E5AF1" w:rsidP="008E5AF1">
      <w:pPr>
        <w:numPr>
          <w:ilvl w:val="0"/>
          <w:numId w:val="1"/>
        </w:numPr>
        <w:spacing w:after="0" w:line="388" w:lineRule="atLeast"/>
        <w:textAlignment w:val="baseline"/>
        <w:rPr>
          <w:rFonts w:ascii="Open Sans" w:eastAsia="Times New Roman" w:hAnsi="Open Sans" w:cs="Open Sans"/>
          <w:color w:val="555555"/>
          <w:kern w:val="0"/>
          <w:sz w:val="24"/>
          <w:szCs w:val="24"/>
          <w:lang w:eastAsia="de-AT"/>
          <w14:ligatures w14:val="none"/>
        </w:rPr>
      </w:pPr>
      <w:r w:rsidRPr="008E5AF1">
        <w:rPr>
          <w:rFonts w:ascii="Open Sans" w:eastAsia="Times New Roman" w:hAnsi="Open Sans" w:cs="Open Sans"/>
          <w:color w:val="555555"/>
          <w:kern w:val="0"/>
          <w:sz w:val="24"/>
          <w:szCs w:val="24"/>
          <w:lang w:eastAsia="de-AT"/>
          <w14:ligatures w14:val="none"/>
        </w:rPr>
        <w:t>Siehe auch Schnabel, I. (2022), „ </w:t>
      </w:r>
      <w:hyperlink r:id="rId26" w:history="1">
        <w:r w:rsidRPr="008E5AF1">
          <w:rPr>
            <w:rFonts w:ascii="Open Sans" w:eastAsia="Times New Roman" w:hAnsi="Open Sans" w:cs="Open Sans"/>
            <w:color w:val="2B7AB6"/>
            <w:kern w:val="0"/>
            <w:sz w:val="24"/>
            <w:szCs w:val="24"/>
            <w:bdr w:val="none" w:sz="0" w:space="0" w:color="auto" w:frame="1"/>
            <w:lang w:eastAsia="de-AT"/>
            <w14:ligatures w14:val="none"/>
          </w:rPr>
          <w:t xml:space="preserve">Ein neues Zeitalter der Energieinflation: </w:t>
        </w:r>
        <w:proofErr w:type="spellStart"/>
        <w:r w:rsidRPr="008E5AF1">
          <w:rPr>
            <w:rFonts w:ascii="Open Sans" w:eastAsia="Times New Roman" w:hAnsi="Open Sans" w:cs="Open Sans"/>
            <w:color w:val="2B7AB6"/>
            <w:kern w:val="0"/>
            <w:sz w:val="24"/>
            <w:szCs w:val="24"/>
            <w:bdr w:val="none" w:sz="0" w:space="0" w:color="auto" w:frame="1"/>
            <w:lang w:eastAsia="de-AT"/>
            <w14:ligatures w14:val="none"/>
          </w:rPr>
          <w:t>Klimaflation</w:t>
        </w:r>
        <w:proofErr w:type="spellEnd"/>
        <w:r w:rsidRPr="008E5AF1">
          <w:rPr>
            <w:rFonts w:ascii="Open Sans" w:eastAsia="Times New Roman" w:hAnsi="Open Sans" w:cs="Open Sans"/>
            <w:color w:val="2B7AB6"/>
            <w:kern w:val="0"/>
            <w:sz w:val="24"/>
            <w:szCs w:val="24"/>
            <w:bdr w:val="none" w:sz="0" w:space="0" w:color="auto" w:frame="1"/>
            <w:lang w:eastAsia="de-AT"/>
            <w14:ligatures w14:val="none"/>
          </w:rPr>
          <w:t xml:space="preserve">, </w:t>
        </w:r>
        <w:proofErr w:type="spellStart"/>
        <w:r w:rsidRPr="008E5AF1">
          <w:rPr>
            <w:rFonts w:ascii="Open Sans" w:eastAsia="Times New Roman" w:hAnsi="Open Sans" w:cs="Open Sans"/>
            <w:color w:val="2B7AB6"/>
            <w:kern w:val="0"/>
            <w:sz w:val="24"/>
            <w:szCs w:val="24"/>
            <w:bdr w:val="none" w:sz="0" w:space="0" w:color="auto" w:frame="1"/>
            <w:lang w:eastAsia="de-AT"/>
            <w14:ligatures w14:val="none"/>
          </w:rPr>
          <w:t>Fossilflation</w:t>
        </w:r>
        <w:proofErr w:type="spellEnd"/>
        <w:r w:rsidRPr="008E5AF1">
          <w:rPr>
            <w:rFonts w:ascii="Open Sans" w:eastAsia="Times New Roman" w:hAnsi="Open Sans" w:cs="Open Sans"/>
            <w:color w:val="2B7AB6"/>
            <w:kern w:val="0"/>
            <w:sz w:val="24"/>
            <w:szCs w:val="24"/>
            <w:bdr w:val="none" w:sz="0" w:space="0" w:color="auto" w:frame="1"/>
            <w:lang w:eastAsia="de-AT"/>
            <w14:ligatures w14:val="none"/>
          </w:rPr>
          <w:t xml:space="preserve"> und </w:t>
        </w:r>
        <w:proofErr w:type="spellStart"/>
        <w:r w:rsidRPr="008E5AF1">
          <w:rPr>
            <w:rFonts w:ascii="Open Sans" w:eastAsia="Times New Roman" w:hAnsi="Open Sans" w:cs="Open Sans"/>
            <w:color w:val="2B7AB6"/>
            <w:kern w:val="0"/>
            <w:sz w:val="24"/>
            <w:szCs w:val="24"/>
            <w:bdr w:val="none" w:sz="0" w:space="0" w:color="auto" w:frame="1"/>
            <w:lang w:eastAsia="de-AT"/>
            <w14:ligatures w14:val="none"/>
          </w:rPr>
          <w:t>Greenflation</w:t>
        </w:r>
        <w:proofErr w:type="spellEnd"/>
      </w:hyperlink>
      <w:r w:rsidRPr="008E5AF1">
        <w:rPr>
          <w:rFonts w:ascii="Open Sans" w:eastAsia="Times New Roman" w:hAnsi="Open Sans" w:cs="Open Sans"/>
          <w:color w:val="555555"/>
          <w:kern w:val="0"/>
          <w:sz w:val="24"/>
          <w:szCs w:val="24"/>
          <w:lang w:eastAsia="de-AT"/>
          <w14:ligatures w14:val="none"/>
        </w:rPr>
        <w:t> “, Rede auf der XXII. Konferenz der EZB und ihrer Beobachter, 17. März.</w:t>
      </w:r>
    </w:p>
    <w:p w14:paraId="708D5938" w14:textId="77777777" w:rsidR="008E5AF1" w:rsidRPr="008E5AF1" w:rsidRDefault="008E5AF1" w:rsidP="008E5AF1">
      <w:pPr>
        <w:numPr>
          <w:ilvl w:val="0"/>
          <w:numId w:val="1"/>
        </w:numPr>
        <w:spacing w:after="0" w:line="388" w:lineRule="atLeast"/>
        <w:textAlignment w:val="baseline"/>
        <w:rPr>
          <w:rFonts w:ascii="Open Sans" w:eastAsia="Times New Roman" w:hAnsi="Open Sans" w:cs="Open Sans"/>
          <w:color w:val="555555"/>
          <w:kern w:val="0"/>
          <w:sz w:val="24"/>
          <w:szCs w:val="24"/>
          <w:lang w:eastAsia="de-AT"/>
          <w14:ligatures w14:val="none"/>
        </w:rPr>
      </w:pPr>
      <w:proofErr w:type="spellStart"/>
      <w:r w:rsidRPr="008E5AF1">
        <w:rPr>
          <w:rFonts w:ascii="Open Sans" w:eastAsia="Times New Roman" w:hAnsi="Open Sans" w:cs="Open Sans"/>
          <w:color w:val="555555"/>
          <w:kern w:val="0"/>
          <w:sz w:val="24"/>
          <w:szCs w:val="24"/>
          <w:lang w:eastAsia="de-AT"/>
          <w14:ligatures w14:val="none"/>
        </w:rPr>
        <w:t>Ingves</w:t>
      </w:r>
      <w:proofErr w:type="spellEnd"/>
      <w:r w:rsidRPr="008E5AF1">
        <w:rPr>
          <w:rFonts w:ascii="Open Sans" w:eastAsia="Times New Roman" w:hAnsi="Open Sans" w:cs="Open Sans"/>
          <w:color w:val="555555"/>
          <w:kern w:val="0"/>
          <w:sz w:val="24"/>
          <w:szCs w:val="24"/>
          <w:lang w:eastAsia="de-AT"/>
          <w14:ligatures w14:val="none"/>
        </w:rPr>
        <w:t>, S. (2022), „Inflationsziel für fast 30 Jahre – ein robuster Rahmen für alle Zeiten?“, Rede vor dem Schwedischen Wirtschaftsverband, 31. Mai.</w:t>
      </w:r>
    </w:p>
    <w:p w14:paraId="79A4AEFA" w14:textId="77777777" w:rsidR="008E5AF1" w:rsidRPr="008E5AF1" w:rsidRDefault="008E5AF1" w:rsidP="008E5AF1">
      <w:pPr>
        <w:numPr>
          <w:ilvl w:val="0"/>
          <w:numId w:val="1"/>
        </w:numPr>
        <w:spacing w:after="0" w:line="388" w:lineRule="atLeast"/>
        <w:textAlignment w:val="baseline"/>
        <w:rPr>
          <w:rFonts w:ascii="Open Sans" w:eastAsia="Times New Roman" w:hAnsi="Open Sans" w:cs="Open Sans"/>
          <w:color w:val="555555"/>
          <w:kern w:val="0"/>
          <w:sz w:val="24"/>
          <w:szCs w:val="24"/>
          <w:lang w:eastAsia="de-AT"/>
          <w14:ligatures w14:val="none"/>
        </w:rPr>
      </w:pPr>
      <w:r w:rsidRPr="008E5AF1">
        <w:rPr>
          <w:rFonts w:ascii="Open Sans" w:eastAsia="Times New Roman" w:hAnsi="Open Sans" w:cs="Open Sans"/>
          <w:color w:val="555555"/>
          <w:kern w:val="0"/>
          <w:sz w:val="24"/>
          <w:szCs w:val="24"/>
          <w:lang w:eastAsia="de-AT"/>
          <w14:ligatures w14:val="none"/>
        </w:rPr>
        <w:t xml:space="preserve">Siehe zum Beispiel Cohen, D. et al. (1999), „Inflation and </w:t>
      </w:r>
      <w:proofErr w:type="spellStart"/>
      <w:r w:rsidRPr="008E5AF1">
        <w:rPr>
          <w:rFonts w:ascii="Open Sans" w:eastAsia="Times New Roman" w:hAnsi="Open Sans" w:cs="Open Sans"/>
          <w:color w:val="555555"/>
          <w:kern w:val="0"/>
          <w:sz w:val="24"/>
          <w:szCs w:val="24"/>
          <w:lang w:eastAsia="de-AT"/>
          <w14:ligatures w14:val="none"/>
        </w:rPr>
        <w:t>the</w:t>
      </w:r>
      <w:proofErr w:type="spellEnd"/>
      <w:r w:rsidRPr="008E5AF1">
        <w:rPr>
          <w:rFonts w:ascii="Open Sans" w:eastAsia="Times New Roman" w:hAnsi="Open Sans" w:cs="Open Sans"/>
          <w:color w:val="555555"/>
          <w:kern w:val="0"/>
          <w:sz w:val="24"/>
          <w:szCs w:val="24"/>
          <w:lang w:eastAsia="de-AT"/>
          <w14:ligatures w14:val="none"/>
        </w:rPr>
        <w:t xml:space="preserve"> User </w:t>
      </w:r>
      <w:proofErr w:type="spellStart"/>
      <w:r w:rsidRPr="008E5AF1">
        <w:rPr>
          <w:rFonts w:ascii="Open Sans" w:eastAsia="Times New Roman" w:hAnsi="Open Sans" w:cs="Open Sans"/>
          <w:color w:val="555555"/>
          <w:kern w:val="0"/>
          <w:sz w:val="24"/>
          <w:szCs w:val="24"/>
          <w:lang w:eastAsia="de-AT"/>
          <w14:ligatures w14:val="none"/>
        </w:rPr>
        <w:t>Cost</w:t>
      </w:r>
      <w:proofErr w:type="spellEnd"/>
      <w:r w:rsidRPr="008E5AF1">
        <w:rPr>
          <w:rFonts w:ascii="Open Sans" w:eastAsia="Times New Roman" w:hAnsi="Open Sans" w:cs="Open Sans"/>
          <w:color w:val="555555"/>
          <w:kern w:val="0"/>
          <w:sz w:val="24"/>
          <w:szCs w:val="24"/>
          <w:lang w:eastAsia="de-AT"/>
          <w14:ligatures w14:val="none"/>
        </w:rPr>
        <w:t xml:space="preserve"> </w:t>
      </w:r>
      <w:proofErr w:type="spellStart"/>
      <w:r w:rsidRPr="008E5AF1">
        <w:rPr>
          <w:rFonts w:ascii="Open Sans" w:eastAsia="Times New Roman" w:hAnsi="Open Sans" w:cs="Open Sans"/>
          <w:color w:val="555555"/>
          <w:kern w:val="0"/>
          <w:sz w:val="24"/>
          <w:szCs w:val="24"/>
          <w:lang w:eastAsia="de-AT"/>
          <w14:ligatures w14:val="none"/>
        </w:rPr>
        <w:t>of</w:t>
      </w:r>
      <w:proofErr w:type="spellEnd"/>
      <w:r w:rsidRPr="008E5AF1">
        <w:rPr>
          <w:rFonts w:ascii="Open Sans" w:eastAsia="Times New Roman" w:hAnsi="Open Sans" w:cs="Open Sans"/>
          <w:color w:val="555555"/>
          <w:kern w:val="0"/>
          <w:sz w:val="24"/>
          <w:szCs w:val="24"/>
          <w:lang w:eastAsia="de-AT"/>
          <w14:ligatures w14:val="none"/>
        </w:rPr>
        <w:t xml:space="preserve"> Capital: </w:t>
      </w:r>
      <w:proofErr w:type="spellStart"/>
      <w:r w:rsidRPr="008E5AF1">
        <w:rPr>
          <w:rFonts w:ascii="Open Sans" w:eastAsia="Times New Roman" w:hAnsi="Open Sans" w:cs="Open Sans"/>
          <w:color w:val="555555"/>
          <w:kern w:val="0"/>
          <w:sz w:val="24"/>
          <w:szCs w:val="24"/>
          <w:lang w:eastAsia="de-AT"/>
          <w14:ligatures w14:val="none"/>
        </w:rPr>
        <w:t>Does</w:t>
      </w:r>
      <w:proofErr w:type="spellEnd"/>
      <w:r w:rsidRPr="008E5AF1">
        <w:rPr>
          <w:rFonts w:ascii="Open Sans" w:eastAsia="Times New Roman" w:hAnsi="Open Sans" w:cs="Open Sans"/>
          <w:color w:val="555555"/>
          <w:kern w:val="0"/>
          <w:sz w:val="24"/>
          <w:szCs w:val="24"/>
          <w:lang w:eastAsia="de-AT"/>
          <w14:ligatures w14:val="none"/>
        </w:rPr>
        <w:t xml:space="preserve"> Inflation Still Matter?“, in Feldstein, M. (Hrsg.), </w:t>
      </w:r>
      <w:r w:rsidRPr="008E5AF1">
        <w:rPr>
          <w:rFonts w:ascii="inherit" w:eastAsia="Times New Roman" w:hAnsi="inherit" w:cs="Open Sans"/>
          <w:i/>
          <w:iCs/>
          <w:color w:val="555555"/>
          <w:kern w:val="0"/>
          <w:sz w:val="24"/>
          <w:szCs w:val="24"/>
          <w:bdr w:val="none" w:sz="0" w:space="0" w:color="auto" w:frame="1"/>
          <w:lang w:eastAsia="de-AT"/>
          <w14:ligatures w14:val="none"/>
        </w:rPr>
        <w:t xml:space="preserve">The Costs and Benefits </w:t>
      </w:r>
      <w:proofErr w:type="spellStart"/>
      <w:r w:rsidRPr="008E5AF1">
        <w:rPr>
          <w:rFonts w:ascii="inherit" w:eastAsia="Times New Roman" w:hAnsi="inherit" w:cs="Open Sans"/>
          <w:i/>
          <w:iCs/>
          <w:color w:val="555555"/>
          <w:kern w:val="0"/>
          <w:sz w:val="24"/>
          <w:szCs w:val="24"/>
          <w:bdr w:val="none" w:sz="0" w:space="0" w:color="auto" w:frame="1"/>
          <w:lang w:eastAsia="de-AT"/>
          <w14:ligatures w14:val="none"/>
        </w:rPr>
        <w:t>of</w:t>
      </w:r>
      <w:proofErr w:type="spellEnd"/>
      <w:r w:rsidRPr="008E5AF1">
        <w:rPr>
          <w:rFonts w:ascii="inherit" w:eastAsia="Times New Roman" w:hAnsi="inherit" w:cs="Open Sans"/>
          <w:i/>
          <w:iCs/>
          <w:color w:val="555555"/>
          <w:kern w:val="0"/>
          <w:sz w:val="24"/>
          <w:szCs w:val="24"/>
          <w:bdr w:val="none" w:sz="0" w:space="0" w:color="auto" w:frame="1"/>
          <w:lang w:eastAsia="de-AT"/>
          <w14:ligatures w14:val="none"/>
        </w:rPr>
        <w:t xml:space="preserve"> Price </w:t>
      </w:r>
      <w:proofErr w:type="spellStart"/>
      <w:proofErr w:type="gramStart"/>
      <w:r w:rsidRPr="008E5AF1">
        <w:rPr>
          <w:rFonts w:ascii="inherit" w:eastAsia="Times New Roman" w:hAnsi="inherit" w:cs="Open Sans"/>
          <w:i/>
          <w:iCs/>
          <w:color w:val="555555"/>
          <w:kern w:val="0"/>
          <w:sz w:val="24"/>
          <w:szCs w:val="24"/>
          <w:bdr w:val="none" w:sz="0" w:space="0" w:color="auto" w:frame="1"/>
          <w:lang w:eastAsia="de-AT"/>
          <w14:ligatures w14:val="none"/>
        </w:rPr>
        <w:t>Stability</w:t>
      </w:r>
      <w:proofErr w:type="spellEnd"/>
      <w:r w:rsidRPr="008E5AF1">
        <w:rPr>
          <w:rFonts w:ascii="Open Sans" w:eastAsia="Times New Roman" w:hAnsi="Open Sans" w:cs="Open Sans"/>
          <w:color w:val="555555"/>
          <w:kern w:val="0"/>
          <w:sz w:val="24"/>
          <w:szCs w:val="24"/>
          <w:lang w:eastAsia="de-AT"/>
          <w14:ligatures w14:val="none"/>
        </w:rPr>
        <w:t> ,</w:t>
      </w:r>
      <w:proofErr w:type="gramEnd"/>
      <w:r w:rsidRPr="008E5AF1">
        <w:rPr>
          <w:rFonts w:ascii="Open Sans" w:eastAsia="Times New Roman" w:hAnsi="Open Sans" w:cs="Open Sans"/>
          <w:color w:val="555555"/>
          <w:kern w:val="0"/>
          <w:sz w:val="24"/>
          <w:szCs w:val="24"/>
          <w:lang w:eastAsia="de-AT"/>
          <w14:ligatures w14:val="none"/>
        </w:rPr>
        <w:t xml:space="preserve"> University </w:t>
      </w:r>
      <w:proofErr w:type="spellStart"/>
      <w:r w:rsidRPr="008E5AF1">
        <w:rPr>
          <w:rFonts w:ascii="Open Sans" w:eastAsia="Times New Roman" w:hAnsi="Open Sans" w:cs="Open Sans"/>
          <w:color w:val="555555"/>
          <w:kern w:val="0"/>
          <w:sz w:val="24"/>
          <w:szCs w:val="24"/>
          <w:lang w:eastAsia="de-AT"/>
          <w14:ligatures w14:val="none"/>
        </w:rPr>
        <w:t>of</w:t>
      </w:r>
      <w:proofErr w:type="spellEnd"/>
      <w:r w:rsidRPr="008E5AF1">
        <w:rPr>
          <w:rFonts w:ascii="Open Sans" w:eastAsia="Times New Roman" w:hAnsi="Open Sans" w:cs="Open Sans"/>
          <w:color w:val="555555"/>
          <w:kern w:val="0"/>
          <w:sz w:val="24"/>
          <w:szCs w:val="24"/>
          <w:lang w:eastAsia="de-AT"/>
          <w14:ligatures w14:val="none"/>
        </w:rPr>
        <w:t xml:space="preserve"> Chicago Press für die NBER; und Andrés, J . und Hernando, I. (1997), „</w:t>
      </w:r>
      <w:proofErr w:type="spellStart"/>
      <w:r w:rsidRPr="008E5AF1">
        <w:rPr>
          <w:rFonts w:ascii="Open Sans" w:eastAsia="Times New Roman" w:hAnsi="Open Sans" w:cs="Open Sans"/>
          <w:color w:val="555555"/>
          <w:kern w:val="0"/>
          <w:sz w:val="24"/>
          <w:szCs w:val="24"/>
          <w:lang w:eastAsia="de-AT"/>
          <w14:ligatures w14:val="none"/>
        </w:rPr>
        <w:t>Does</w:t>
      </w:r>
      <w:proofErr w:type="spellEnd"/>
      <w:r w:rsidRPr="008E5AF1">
        <w:rPr>
          <w:rFonts w:ascii="Open Sans" w:eastAsia="Times New Roman" w:hAnsi="Open Sans" w:cs="Open Sans"/>
          <w:color w:val="555555"/>
          <w:kern w:val="0"/>
          <w:sz w:val="24"/>
          <w:szCs w:val="24"/>
          <w:lang w:eastAsia="de-AT"/>
          <w14:ligatures w14:val="none"/>
        </w:rPr>
        <w:t xml:space="preserve"> Inflation Harm </w:t>
      </w:r>
      <w:proofErr w:type="spellStart"/>
      <w:r w:rsidRPr="008E5AF1">
        <w:rPr>
          <w:rFonts w:ascii="Open Sans" w:eastAsia="Times New Roman" w:hAnsi="Open Sans" w:cs="Open Sans"/>
          <w:color w:val="555555"/>
          <w:kern w:val="0"/>
          <w:sz w:val="24"/>
          <w:szCs w:val="24"/>
          <w:lang w:eastAsia="de-AT"/>
          <w14:ligatures w14:val="none"/>
        </w:rPr>
        <w:t>Economic</w:t>
      </w:r>
      <w:proofErr w:type="spellEnd"/>
      <w:r w:rsidRPr="008E5AF1">
        <w:rPr>
          <w:rFonts w:ascii="Open Sans" w:eastAsia="Times New Roman" w:hAnsi="Open Sans" w:cs="Open Sans"/>
          <w:color w:val="555555"/>
          <w:kern w:val="0"/>
          <w:sz w:val="24"/>
          <w:szCs w:val="24"/>
          <w:lang w:eastAsia="de-AT"/>
          <w14:ligatures w14:val="none"/>
        </w:rPr>
        <w:t xml:space="preserve"> Growth? </w:t>
      </w:r>
      <w:proofErr w:type="spellStart"/>
      <w:r w:rsidRPr="008E5AF1">
        <w:rPr>
          <w:rFonts w:ascii="Open Sans" w:eastAsia="Times New Roman" w:hAnsi="Open Sans" w:cs="Open Sans"/>
          <w:color w:val="555555"/>
          <w:kern w:val="0"/>
          <w:sz w:val="24"/>
          <w:szCs w:val="24"/>
          <w:lang w:eastAsia="de-AT"/>
          <w14:ligatures w14:val="none"/>
        </w:rPr>
        <w:t>Evidence</w:t>
      </w:r>
      <w:proofErr w:type="spellEnd"/>
      <w:r w:rsidRPr="008E5AF1">
        <w:rPr>
          <w:rFonts w:ascii="Open Sans" w:eastAsia="Times New Roman" w:hAnsi="Open Sans" w:cs="Open Sans"/>
          <w:color w:val="555555"/>
          <w:kern w:val="0"/>
          <w:sz w:val="24"/>
          <w:szCs w:val="24"/>
          <w:lang w:eastAsia="de-AT"/>
          <w14:ligatures w14:val="none"/>
        </w:rPr>
        <w:t xml:space="preserve"> </w:t>
      </w:r>
      <w:proofErr w:type="spellStart"/>
      <w:r w:rsidRPr="008E5AF1">
        <w:rPr>
          <w:rFonts w:ascii="Open Sans" w:eastAsia="Times New Roman" w:hAnsi="Open Sans" w:cs="Open Sans"/>
          <w:color w:val="555555"/>
          <w:kern w:val="0"/>
          <w:sz w:val="24"/>
          <w:szCs w:val="24"/>
          <w:lang w:eastAsia="de-AT"/>
          <w14:ligatures w14:val="none"/>
        </w:rPr>
        <w:t>from</w:t>
      </w:r>
      <w:proofErr w:type="spellEnd"/>
      <w:r w:rsidRPr="008E5AF1">
        <w:rPr>
          <w:rFonts w:ascii="Open Sans" w:eastAsia="Times New Roman" w:hAnsi="Open Sans" w:cs="Open Sans"/>
          <w:color w:val="555555"/>
          <w:kern w:val="0"/>
          <w:sz w:val="24"/>
          <w:szCs w:val="24"/>
          <w:lang w:eastAsia="de-AT"/>
          <w14:ligatures w14:val="none"/>
        </w:rPr>
        <w:t xml:space="preserve"> </w:t>
      </w:r>
      <w:proofErr w:type="spellStart"/>
      <w:r w:rsidRPr="008E5AF1">
        <w:rPr>
          <w:rFonts w:ascii="Open Sans" w:eastAsia="Times New Roman" w:hAnsi="Open Sans" w:cs="Open Sans"/>
          <w:color w:val="555555"/>
          <w:kern w:val="0"/>
          <w:sz w:val="24"/>
          <w:szCs w:val="24"/>
          <w:lang w:eastAsia="de-AT"/>
          <w14:ligatures w14:val="none"/>
        </w:rPr>
        <w:t>the</w:t>
      </w:r>
      <w:proofErr w:type="spellEnd"/>
      <w:r w:rsidRPr="008E5AF1">
        <w:rPr>
          <w:rFonts w:ascii="Open Sans" w:eastAsia="Times New Roman" w:hAnsi="Open Sans" w:cs="Open Sans"/>
          <w:color w:val="555555"/>
          <w:kern w:val="0"/>
          <w:sz w:val="24"/>
          <w:szCs w:val="24"/>
          <w:lang w:eastAsia="de-AT"/>
          <w14:ligatures w14:val="none"/>
        </w:rPr>
        <w:t xml:space="preserve"> OECD“, </w:t>
      </w:r>
      <w:r w:rsidRPr="008E5AF1">
        <w:rPr>
          <w:rFonts w:ascii="inherit" w:eastAsia="Times New Roman" w:hAnsi="inherit" w:cs="Open Sans"/>
          <w:i/>
          <w:iCs/>
          <w:color w:val="555555"/>
          <w:kern w:val="0"/>
          <w:sz w:val="24"/>
          <w:szCs w:val="24"/>
          <w:bdr w:val="none" w:sz="0" w:space="0" w:color="auto" w:frame="1"/>
          <w:lang w:eastAsia="de-AT"/>
          <w14:ligatures w14:val="none"/>
        </w:rPr>
        <w:t>NBER Working Paper,</w:t>
      </w:r>
      <w:r w:rsidRPr="008E5AF1">
        <w:rPr>
          <w:rFonts w:ascii="Open Sans" w:eastAsia="Times New Roman" w:hAnsi="Open Sans" w:cs="Open Sans"/>
          <w:color w:val="555555"/>
          <w:kern w:val="0"/>
          <w:sz w:val="24"/>
          <w:szCs w:val="24"/>
          <w:lang w:eastAsia="de-AT"/>
          <w14:ligatures w14:val="none"/>
        </w:rPr>
        <w:t> Nr. 6062.</w:t>
      </w:r>
    </w:p>
    <w:p w14:paraId="3DD9B3EB" w14:textId="77777777" w:rsidR="008E5AF1" w:rsidRPr="008E5AF1" w:rsidRDefault="008E5AF1" w:rsidP="008E5AF1">
      <w:pPr>
        <w:numPr>
          <w:ilvl w:val="0"/>
          <w:numId w:val="1"/>
        </w:numPr>
        <w:spacing w:after="0" w:line="388" w:lineRule="atLeast"/>
        <w:textAlignment w:val="baseline"/>
        <w:rPr>
          <w:rFonts w:ascii="Open Sans" w:eastAsia="Times New Roman" w:hAnsi="Open Sans" w:cs="Open Sans"/>
          <w:color w:val="555555"/>
          <w:kern w:val="0"/>
          <w:sz w:val="24"/>
          <w:szCs w:val="24"/>
          <w:lang w:eastAsia="de-AT"/>
          <w14:ligatures w14:val="none"/>
        </w:rPr>
      </w:pPr>
      <w:r w:rsidRPr="008E5AF1">
        <w:rPr>
          <w:rFonts w:ascii="Open Sans" w:eastAsia="Times New Roman" w:hAnsi="Open Sans" w:cs="Open Sans"/>
          <w:color w:val="555555"/>
          <w:kern w:val="0"/>
          <w:sz w:val="24"/>
          <w:szCs w:val="24"/>
          <w:lang w:eastAsia="de-AT"/>
          <w14:ligatures w14:val="none"/>
        </w:rPr>
        <w:t xml:space="preserve">Siehe zum Beispiel Clark, P. (1982), „Inflation and </w:t>
      </w:r>
      <w:proofErr w:type="spellStart"/>
      <w:r w:rsidRPr="008E5AF1">
        <w:rPr>
          <w:rFonts w:ascii="Open Sans" w:eastAsia="Times New Roman" w:hAnsi="Open Sans" w:cs="Open Sans"/>
          <w:color w:val="555555"/>
          <w:kern w:val="0"/>
          <w:sz w:val="24"/>
          <w:szCs w:val="24"/>
          <w:lang w:eastAsia="de-AT"/>
          <w14:ligatures w14:val="none"/>
        </w:rPr>
        <w:t>the</w:t>
      </w:r>
      <w:proofErr w:type="spellEnd"/>
      <w:r w:rsidRPr="008E5AF1">
        <w:rPr>
          <w:rFonts w:ascii="Open Sans" w:eastAsia="Times New Roman" w:hAnsi="Open Sans" w:cs="Open Sans"/>
          <w:color w:val="555555"/>
          <w:kern w:val="0"/>
          <w:sz w:val="24"/>
          <w:szCs w:val="24"/>
          <w:lang w:eastAsia="de-AT"/>
          <w14:ligatures w14:val="none"/>
        </w:rPr>
        <w:t xml:space="preserve"> </w:t>
      </w:r>
      <w:proofErr w:type="spellStart"/>
      <w:r w:rsidRPr="008E5AF1">
        <w:rPr>
          <w:rFonts w:ascii="Open Sans" w:eastAsia="Times New Roman" w:hAnsi="Open Sans" w:cs="Open Sans"/>
          <w:color w:val="555555"/>
          <w:kern w:val="0"/>
          <w:sz w:val="24"/>
          <w:szCs w:val="24"/>
          <w:lang w:eastAsia="de-AT"/>
          <w14:ligatures w14:val="none"/>
        </w:rPr>
        <w:t>Productivity</w:t>
      </w:r>
      <w:proofErr w:type="spellEnd"/>
      <w:r w:rsidRPr="008E5AF1">
        <w:rPr>
          <w:rFonts w:ascii="Open Sans" w:eastAsia="Times New Roman" w:hAnsi="Open Sans" w:cs="Open Sans"/>
          <w:color w:val="555555"/>
          <w:kern w:val="0"/>
          <w:sz w:val="24"/>
          <w:szCs w:val="24"/>
          <w:lang w:eastAsia="de-AT"/>
          <w14:ligatures w14:val="none"/>
        </w:rPr>
        <w:t xml:space="preserve"> </w:t>
      </w:r>
      <w:proofErr w:type="spellStart"/>
      <w:r w:rsidRPr="008E5AF1">
        <w:rPr>
          <w:rFonts w:ascii="Open Sans" w:eastAsia="Times New Roman" w:hAnsi="Open Sans" w:cs="Open Sans"/>
          <w:color w:val="555555"/>
          <w:kern w:val="0"/>
          <w:sz w:val="24"/>
          <w:szCs w:val="24"/>
          <w:lang w:eastAsia="de-AT"/>
          <w14:ligatures w14:val="none"/>
        </w:rPr>
        <w:t>Decline</w:t>
      </w:r>
      <w:proofErr w:type="spellEnd"/>
      <w:r w:rsidRPr="008E5AF1">
        <w:rPr>
          <w:rFonts w:ascii="Open Sans" w:eastAsia="Times New Roman" w:hAnsi="Open Sans" w:cs="Open Sans"/>
          <w:color w:val="555555"/>
          <w:kern w:val="0"/>
          <w:sz w:val="24"/>
          <w:szCs w:val="24"/>
          <w:lang w:eastAsia="de-AT"/>
          <w14:ligatures w14:val="none"/>
        </w:rPr>
        <w:t>“, </w:t>
      </w:r>
      <w:r w:rsidRPr="008E5AF1">
        <w:rPr>
          <w:rFonts w:ascii="inherit" w:eastAsia="Times New Roman" w:hAnsi="inherit" w:cs="Open Sans"/>
          <w:i/>
          <w:iCs/>
          <w:color w:val="555555"/>
          <w:kern w:val="0"/>
          <w:sz w:val="24"/>
          <w:szCs w:val="24"/>
          <w:bdr w:val="none" w:sz="0" w:space="0" w:color="auto" w:frame="1"/>
          <w:lang w:eastAsia="de-AT"/>
          <w14:ligatures w14:val="none"/>
        </w:rPr>
        <w:t xml:space="preserve">American </w:t>
      </w:r>
      <w:proofErr w:type="spellStart"/>
      <w:r w:rsidRPr="008E5AF1">
        <w:rPr>
          <w:rFonts w:ascii="inherit" w:eastAsia="Times New Roman" w:hAnsi="inherit" w:cs="Open Sans"/>
          <w:i/>
          <w:iCs/>
          <w:color w:val="555555"/>
          <w:kern w:val="0"/>
          <w:sz w:val="24"/>
          <w:szCs w:val="24"/>
          <w:bdr w:val="none" w:sz="0" w:space="0" w:color="auto" w:frame="1"/>
          <w:lang w:eastAsia="de-AT"/>
          <w14:ligatures w14:val="none"/>
        </w:rPr>
        <w:t>Economic</w:t>
      </w:r>
      <w:proofErr w:type="spellEnd"/>
      <w:r w:rsidRPr="008E5AF1">
        <w:rPr>
          <w:rFonts w:ascii="inherit" w:eastAsia="Times New Roman" w:hAnsi="inherit" w:cs="Open Sans"/>
          <w:i/>
          <w:iCs/>
          <w:color w:val="555555"/>
          <w:kern w:val="0"/>
          <w:sz w:val="24"/>
          <w:szCs w:val="24"/>
          <w:bdr w:val="none" w:sz="0" w:space="0" w:color="auto" w:frame="1"/>
          <w:lang w:eastAsia="de-AT"/>
          <w14:ligatures w14:val="none"/>
        </w:rPr>
        <w:t xml:space="preserve"> </w:t>
      </w:r>
      <w:proofErr w:type="gramStart"/>
      <w:r w:rsidRPr="008E5AF1">
        <w:rPr>
          <w:rFonts w:ascii="inherit" w:eastAsia="Times New Roman" w:hAnsi="inherit" w:cs="Open Sans"/>
          <w:i/>
          <w:iCs/>
          <w:color w:val="555555"/>
          <w:kern w:val="0"/>
          <w:sz w:val="24"/>
          <w:szCs w:val="24"/>
          <w:bdr w:val="none" w:sz="0" w:space="0" w:color="auto" w:frame="1"/>
          <w:lang w:eastAsia="de-AT"/>
          <w14:ligatures w14:val="none"/>
        </w:rPr>
        <w:t>Review</w:t>
      </w:r>
      <w:r w:rsidRPr="008E5AF1">
        <w:rPr>
          <w:rFonts w:ascii="Open Sans" w:eastAsia="Times New Roman" w:hAnsi="Open Sans" w:cs="Open Sans"/>
          <w:color w:val="555555"/>
          <w:kern w:val="0"/>
          <w:sz w:val="24"/>
          <w:szCs w:val="24"/>
          <w:lang w:eastAsia="de-AT"/>
          <w14:ligatures w14:val="none"/>
        </w:rPr>
        <w:t> ,</w:t>
      </w:r>
      <w:proofErr w:type="gramEnd"/>
      <w:r w:rsidRPr="008E5AF1">
        <w:rPr>
          <w:rFonts w:ascii="Open Sans" w:eastAsia="Times New Roman" w:hAnsi="Open Sans" w:cs="Open Sans"/>
          <w:color w:val="555555"/>
          <w:kern w:val="0"/>
          <w:sz w:val="24"/>
          <w:szCs w:val="24"/>
          <w:lang w:eastAsia="de-AT"/>
          <w14:ligatures w14:val="none"/>
        </w:rPr>
        <w:t xml:space="preserve"> Bd. 72(2), Papers and Proceedings </w:t>
      </w:r>
      <w:proofErr w:type="spellStart"/>
      <w:r w:rsidRPr="008E5AF1">
        <w:rPr>
          <w:rFonts w:ascii="Open Sans" w:eastAsia="Times New Roman" w:hAnsi="Open Sans" w:cs="Open Sans"/>
          <w:color w:val="555555"/>
          <w:kern w:val="0"/>
          <w:sz w:val="24"/>
          <w:szCs w:val="24"/>
          <w:lang w:eastAsia="de-AT"/>
          <w14:ligatures w14:val="none"/>
        </w:rPr>
        <w:t>of</w:t>
      </w:r>
      <w:proofErr w:type="spellEnd"/>
      <w:r w:rsidRPr="008E5AF1">
        <w:rPr>
          <w:rFonts w:ascii="Open Sans" w:eastAsia="Times New Roman" w:hAnsi="Open Sans" w:cs="Open Sans"/>
          <w:color w:val="555555"/>
          <w:kern w:val="0"/>
          <w:sz w:val="24"/>
          <w:szCs w:val="24"/>
          <w:lang w:eastAsia="de-AT"/>
          <w14:ligatures w14:val="none"/>
        </w:rPr>
        <w:t xml:space="preserve"> </w:t>
      </w:r>
      <w:proofErr w:type="spellStart"/>
      <w:r w:rsidRPr="008E5AF1">
        <w:rPr>
          <w:rFonts w:ascii="Open Sans" w:eastAsia="Times New Roman" w:hAnsi="Open Sans" w:cs="Open Sans"/>
          <w:color w:val="555555"/>
          <w:kern w:val="0"/>
          <w:sz w:val="24"/>
          <w:szCs w:val="24"/>
          <w:lang w:eastAsia="de-AT"/>
          <w14:ligatures w14:val="none"/>
        </w:rPr>
        <w:t>the</w:t>
      </w:r>
      <w:proofErr w:type="spellEnd"/>
      <w:r w:rsidRPr="008E5AF1">
        <w:rPr>
          <w:rFonts w:ascii="Open Sans" w:eastAsia="Times New Roman" w:hAnsi="Open Sans" w:cs="Open Sans"/>
          <w:color w:val="555555"/>
          <w:kern w:val="0"/>
          <w:sz w:val="24"/>
          <w:szCs w:val="24"/>
          <w:lang w:eastAsia="de-AT"/>
          <w14:ligatures w14:val="none"/>
        </w:rPr>
        <w:t xml:space="preserve"> </w:t>
      </w:r>
      <w:proofErr w:type="spellStart"/>
      <w:r w:rsidRPr="008E5AF1">
        <w:rPr>
          <w:rFonts w:ascii="Open Sans" w:eastAsia="Times New Roman" w:hAnsi="Open Sans" w:cs="Open Sans"/>
          <w:color w:val="555555"/>
          <w:kern w:val="0"/>
          <w:sz w:val="24"/>
          <w:szCs w:val="24"/>
          <w:lang w:eastAsia="de-AT"/>
          <w14:ligatures w14:val="none"/>
        </w:rPr>
        <w:t>Ninety-Fourth</w:t>
      </w:r>
      <w:proofErr w:type="spellEnd"/>
      <w:r w:rsidRPr="008E5AF1">
        <w:rPr>
          <w:rFonts w:ascii="Open Sans" w:eastAsia="Times New Roman" w:hAnsi="Open Sans" w:cs="Open Sans"/>
          <w:color w:val="555555"/>
          <w:kern w:val="0"/>
          <w:sz w:val="24"/>
          <w:szCs w:val="24"/>
          <w:lang w:eastAsia="de-AT"/>
          <w14:ligatures w14:val="none"/>
        </w:rPr>
        <w:t xml:space="preserve"> Annual Meeting </w:t>
      </w:r>
      <w:proofErr w:type="spellStart"/>
      <w:r w:rsidRPr="008E5AF1">
        <w:rPr>
          <w:rFonts w:ascii="Open Sans" w:eastAsia="Times New Roman" w:hAnsi="Open Sans" w:cs="Open Sans"/>
          <w:color w:val="555555"/>
          <w:kern w:val="0"/>
          <w:sz w:val="24"/>
          <w:szCs w:val="24"/>
          <w:lang w:eastAsia="de-AT"/>
          <w14:ligatures w14:val="none"/>
        </w:rPr>
        <w:t>of</w:t>
      </w:r>
      <w:proofErr w:type="spellEnd"/>
      <w:r w:rsidRPr="008E5AF1">
        <w:rPr>
          <w:rFonts w:ascii="Open Sans" w:eastAsia="Times New Roman" w:hAnsi="Open Sans" w:cs="Open Sans"/>
          <w:color w:val="555555"/>
          <w:kern w:val="0"/>
          <w:sz w:val="24"/>
          <w:szCs w:val="24"/>
          <w:lang w:eastAsia="de-AT"/>
          <w14:ligatures w14:val="none"/>
        </w:rPr>
        <w:t xml:space="preserve"> </w:t>
      </w:r>
      <w:proofErr w:type="spellStart"/>
      <w:r w:rsidRPr="008E5AF1">
        <w:rPr>
          <w:rFonts w:ascii="Open Sans" w:eastAsia="Times New Roman" w:hAnsi="Open Sans" w:cs="Open Sans"/>
          <w:color w:val="555555"/>
          <w:kern w:val="0"/>
          <w:sz w:val="24"/>
          <w:szCs w:val="24"/>
          <w:lang w:eastAsia="de-AT"/>
          <w14:ligatures w14:val="none"/>
        </w:rPr>
        <w:t>the</w:t>
      </w:r>
      <w:proofErr w:type="spellEnd"/>
      <w:r w:rsidRPr="008E5AF1">
        <w:rPr>
          <w:rFonts w:ascii="Open Sans" w:eastAsia="Times New Roman" w:hAnsi="Open Sans" w:cs="Open Sans"/>
          <w:color w:val="555555"/>
          <w:kern w:val="0"/>
          <w:sz w:val="24"/>
          <w:szCs w:val="24"/>
          <w:lang w:eastAsia="de-AT"/>
          <w14:ligatures w14:val="none"/>
        </w:rPr>
        <w:t xml:space="preserve"> American </w:t>
      </w:r>
      <w:proofErr w:type="spellStart"/>
      <w:r w:rsidRPr="008E5AF1">
        <w:rPr>
          <w:rFonts w:ascii="Open Sans" w:eastAsia="Times New Roman" w:hAnsi="Open Sans" w:cs="Open Sans"/>
          <w:color w:val="555555"/>
          <w:kern w:val="0"/>
          <w:sz w:val="24"/>
          <w:szCs w:val="24"/>
          <w:lang w:eastAsia="de-AT"/>
          <w14:ligatures w14:val="none"/>
        </w:rPr>
        <w:t>Economic</w:t>
      </w:r>
      <w:proofErr w:type="spellEnd"/>
      <w:r w:rsidRPr="008E5AF1">
        <w:rPr>
          <w:rFonts w:ascii="Open Sans" w:eastAsia="Times New Roman" w:hAnsi="Open Sans" w:cs="Open Sans"/>
          <w:color w:val="555555"/>
          <w:kern w:val="0"/>
          <w:sz w:val="24"/>
          <w:szCs w:val="24"/>
          <w:lang w:eastAsia="de-AT"/>
          <w14:ligatures w14:val="none"/>
        </w:rPr>
        <w:t xml:space="preserve"> </w:t>
      </w:r>
      <w:proofErr w:type="spellStart"/>
      <w:r w:rsidRPr="008E5AF1">
        <w:rPr>
          <w:rFonts w:ascii="Open Sans" w:eastAsia="Times New Roman" w:hAnsi="Open Sans" w:cs="Open Sans"/>
          <w:color w:val="555555"/>
          <w:kern w:val="0"/>
          <w:sz w:val="24"/>
          <w:szCs w:val="24"/>
          <w:lang w:eastAsia="de-AT"/>
          <w14:ligatures w14:val="none"/>
        </w:rPr>
        <w:t>Association</w:t>
      </w:r>
      <w:proofErr w:type="spellEnd"/>
      <w:r w:rsidRPr="008E5AF1">
        <w:rPr>
          <w:rFonts w:ascii="Open Sans" w:eastAsia="Times New Roman" w:hAnsi="Open Sans" w:cs="Open Sans"/>
          <w:color w:val="555555"/>
          <w:kern w:val="0"/>
          <w:sz w:val="24"/>
          <w:szCs w:val="24"/>
          <w:lang w:eastAsia="de-AT"/>
          <w14:ligatures w14:val="none"/>
        </w:rPr>
        <w:t>, S. 149-154.</w:t>
      </w:r>
    </w:p>
    <w:p w14:paraId="63D80507" w14:textId="77777777" w:rsidR="008E5AF1" w:rsidRPr="008E5AF1" w:rsidRDefault="008E5AF1" w:rsidP="008E5AF1">
      <w:pPr>
        <w:numPr>
          <w:ilvl w:val="0"/>
          <w:numId w:val="1"/>
        </w:numPr>
        <w:spacing w:after="0" w:line="388" w:lineRule="atLeast"/>
        <w:textAlignment w:val="baseline"/>
        <w:rPr>
          <w:rFonts w:ascii="Open Sans" w:eastAsia="Times New Roman" w:hAnsi="Open Sans" w:cs="Open Sans"/>
          <w:color w:val="555555"/>
          <w:kern w:val="0"/>
          <w:sz w:val="24"/>
          <w:szCs w:val="24"/>
          <w:lang w:eastAsia="de-AT"/>
          <w14:ligatures w14:val="none"/>
        </w:rPr>
      </w:pPr>
      <w:r w:rsidRPr="008E5AF1">
        <w:rPr>
          <w:rFonts w:ascii="Open Sans" w:eastAsia="Times New Roman" w:hAnsi="Open Sans" w:cs="Open Sans"/>
          <w:color w:val="555555"/>
          <w:kern w:val="0"/>
          <w:sz w:val="24"/>
          <w:szCs w:val="24"/>
          <w:lang w:eastAsia="de-AT"/>
          <w14:ligatures w14:val="none"/>
        </w:rPr>
        <w:t>Schnabel, I. (2022), „ </w:t>
      </w:r>
      <w:proofErr w:type="spellStart"/>
      <w:r w:rsidRPr="008E5AF1">
        <w:rPr>
          <w:rFonts w:ascii="Open Sans" w:eastAsia="Times New Roman" w:hAnsi="Open Sans" w:cs="Open Sans"/>
          <w:color w:val="555555"/>
          <w:kern w:val="0"/>
          <w:sz w:val="24"/>
          <w:szCs w:val="24"/>
          <w:lang w:eastAsia="de-AT"/>
          <w14:ligatures w14:val="none"/>
        </w:rPr>
        <w:fldChar w:fldCharType="begin"/>
      </w:r>
      <w:r w:rsidRPr="008E5AF1">
        <w:rPr>
          <w:rFonts w:ascii="Open Sans" w:eastAsia="Times New Roman" w:hAnsi="Open Sans" w:cs="Open Sans"/>
          <w:color w:val="555555"/>
          <w:kern w:val="0"/>
          <w:sz w:val="24"/>
          <w:szCs w:val="24"/>
          <w:lang w:eastAsia="de-AT"/>
          <w14:ligatures w14:val="none"/>
        </w:rPr>
        <w:instrText>HYPERLINK "https://www.ecb.europa.eu/press/key/date/2022/html/ecb.sp220827~93f7d07535.en.html"</w:instrText>
      </w:r>
      <w:r w:rsidRPr="008E5AF1">
        <w:rPr>
          <w:rFonts w:ascii="Open Sans" w:eastAsia="Times New Roman" w:hAnsi="Open Sans" w:cs="Open Sans"/>
          <w:color w:val="555555"/>
          <w:kern w:val="0"/>
          <w:sz w:val="24"/>
          <w:szCs w:val="24"/>
          <w:lang w:eastAsia="de-AT"/>
          <w14:ligatures w14:val="none"/>
        </w:rPr>
      </w:r>
      <w:r w:rsidRPr="008E5AF1">
        <w:rPr>
          <w:rFonts w:ascii="Open Sans" w:eastAsia="Times New Roman" w:hAnsi="Open Sans" w:cs="Open Sans"/>
          <w:color w:val="555555"/>
          <w:kern w:val="0"/>
          <w:sz w:val="24"/>
          <w:szCs w:val="24"/>
          <w:lang w:eastAsia="de-AT"/>
          <w14:ligatures w14:val="none"/>
        </w:rPr>
        <w:fldChar w:fldCharType="separate"/>
      </w:r>
      <w:r w:rsidRPr="008E5AF1">
        <w:rPr>
          <w:rFonts w:ascii="Open Sans" w:eastAsia="Times New Roman" w:hAnsi="Open Sans" w:cs="Open Sans"/>
          <w:color w:val="2B7AB6"/>
          <w:kern w:val="0"/>
          <w:sz w:val="24"/>
          <w:szCs w:val="24"/>
          <w:bdr w:val="none" w:sz="0" w:space="0" w:color="auto" w:frame="1"/>
          <w:lang w:eastAsia="de-AT"/>
          <w14:ligatures w14:val="none"/>
        </w:rPr>
        <w:t>Monetary</w:t>
      </w:r>
      <w:proofErr w:type="spellEnd"/>
      <w:r w:rsidRPr="008E5AF1">
        <w:rPr>
          <w:rFonts w:ascii="Open Sans" w:eastAsia="Times New Roman" w:hAnsi="Open Sans" w:cs="Open Sans"/>
          <w:color w:val="2B7AB6"/>
          <w:kern w:val="0"/>
          <w:sz w:val="24"/>
          <w:szCs w:val="24"/>
          <w:bdr w:val="none" w:sz="0" w:space="0" w:color="auto" w:frame="1"/>
          <w:lang w:eastAsia="de-AT"/>
          <w14:ligatures w14:val="none"/>
        </w:rPr>
        <w:t xml:space="preserve"> Policy and </w:t>
      </w:r>
      <w:proofErr w:type="spellStart"/>
      <w:r w:rsidRPr="008E5AF1">
        <w:rPr>
          <w:rFonts w:ascii="Open Sans" w:eastAsia="Times New Roman" w:hAnsi="Open Sans" w:cs="Open Sans"/>
          <w:color w:val="2B7AB6"/>
          <w:kern w:val="0"/>
          <w:sz w:val="24"/>
          <w:szCs w:val="24"/>
          <w:bdr w:val="none" w:sz="0" w:space="0" w:color="auto" w:frame="1"/>
          <w:lang w:eastAsia="de-AT"/>
          <w14:ligatures w14:val="none"/>
        </w:rPr>
        <w:t>the</w:t>
      </w:r>
      <w:proofErr w:type="spellEnd"/>
      <w:r w:rsidRPr="008E5AF1">
        <w:rPr>
          <w:rFonts w:ascii="Open Sans" w:eastAsia="Times New Roman" w:hAnsi="Open Sans" w:cs="Open Sans"/>
          <w:color w:val="2B7AB6"/>
          <w:kern w:val="0"/>
          <w:sz w:val="24"/>
          <w:szCs w:val="24"/>
          <w:bdr w:val="none" w:sz="0" w:space="0" w:color="auto" w:frame="1"/>
          <w:lang w:eastAsia="de-AT"/>
          <w14:ligatures w14:val="none"/>
        </w:rPr>
        <w:t xml:space="preserve"> Great </w:t>
      </w:r>
      <w:proofErr w:type="spellStart"/>
      <w:r w:rsidRPr="008E5AF1">
        <w:rPr>
          <w:rFonts w:ascii="Open Sans" w:eastAsia="Times New Roman" w:hAnsi="Open Sans" w:cs="Open Sans"/>
          <w:color w:val="2B7AB6"/>
          <w:kern w:val="0"/>
          <w:sz w:val="24"/>
          <w:szCs w:val="24"/>
          <w:bdr w:val="none" w:sz="0" w:space="0" w:color="auto" w:frame="1"/>
          <w:lang w:eastAsia="de-AT"/>
          <w14:ligatures w14:val="none"/>
        </w:rPr>
        <w:t>Volatility</w:t>
      </w:r>
      <w:proofErr w:type="spellEnd"/>
      <w:r w:rsidRPr="008E5AF1">
        <w:rPr>
          <w:rFonts w:ascii="Open Sans" w:eastAsia="Times New Roman" w:hAnsi="Open Sans" w:cs="Open Sans"/>
          <w:color w:val="555555"/>
          <w:kern w:val="0"/>
          <w:sz w:val="24"/>
          <w:szCs w:val="24"/>
          <w:lang w:eastAsia="de-AT"/>
          <w14:ligatures w14:val="none"/>
        </w:rPr>
        <w:fldChar w:fldCharType="end"/>
      </w:r>
      <w:r w:rsidRPr="008E5AF1">
        <w:rPr>
          <w:rFonts w:ascii="Open Sans" w:eastAsia="Times New Roman" w:hAnsi="Open Sans" w:cs="Open Sans"/>
          <w:color w:val="555555"/>
          <w:kern w:val="0"/>
          <w:sz w:val="24"/>
          <w:szCs w:val="24"/>
          <w:lang w:eastAsia="de-AT"/>
          <w14:ligatures w14:val="none"/>
        </w:rPr>
        <w:t xml:space="preserve"> “, Rede auf dem Jackson Hole </w:t>
      </w:r>
      <w:proofErr w:type="spellStart"/>
      <w:r w:rsidRPr="008E5AF1">
        <w:rPr>
          <w:rFonts w:ascii="Open Sans" w:eastAsia="Times New Roman" w:hAnsi="Open Sans" w:cs="Open Sans"/>
          <w:color w:val="555555"/>
          <w:kern w:val="0"/>
          <w:sz w:val="24"/>
          <w:szCs w:val="24"/>
          <w:lang w:eastAsia="de-AT"/>
          <w14:ligatures w14:val="none"/>
        </w:rPr>
        <w:t>Economic</w:t>
      </w:r>
      <w:proofErr w:type="spellEnd"/>
      <w:r w:rsidRPr="008E5AF1">
        <w:rPr>
          <w:rFonts w:ascii="Open Sans" w:eastAsia="Times New Roman" w:hAnsi="Open Sans" w:cs="Open Sans"/>
          <w:color w:val="555555"/>
          <w:kern w:val="0"/>
          <w:sz w:val="24"/>
          <w:szCs w:val="24"/>
          <w:lang w:eastAsia="de-AT"/>
          <w14:ligatures w14:val="none"/>
        </w:rPr>
        <w:t xml:space="preserve"> Policy Symposium, organisiert von der Federal Reserve Bank </w:t>
      </w:r>
      <w:proofErr w:type="spellStart"/>
      <w:r w:rsidRPr="008E5AF1">
        <w:rPr>
          <w:rFonts w:ascii="Open Sans" w:eastAsia="Times New Roman" w:hAnsi="Open Sans" w:cs="Open Sans"/>
          <w:color w:val="555555"/>
          <w:kern w:val="0"/>
          <w:sz w:val="24"/>
          <w:szCs w:val="24"/>
          <w:lang w:eastAsia="de-AT"/>
          <w14:ligatures w14:val="none"/>
        </w:rPr>
        <w:t>of</w:t>
      </w:r>
      <w:proofErr w:type="spellEnd"/>
      <w:r w:rsidRPr="008E5AF1">
        <w:rPr>
          <w:rFonts w:ascii="Open Sans" w:eastAsia="Times New Roman" w:hAnsi="Open Sans" w:cs="Open Sans"/>
          <w:color w:val="555555"/>
          <w:kern w:val="0"/>
          <w:sz w:val="24"/>
          <w:szCs w:val="24"/>
          <w:lang w:eastAsia="de-AT"/>
          <w14:ligatures w14:val="none"/>
        </w:rPr>
        <w:t xml:space="preserve"> Kansas City, Jackson Hole, Wyoming, 27. August.</w:t>
      </w:r>
    </w:p>
    <w:p w14:paraId="7145C265" w14:textId="77777777" w:rsidR="008E5AF1" w:rsidRPr="008E5AF1" w:rsidRDefault="008E5AF1" w:rsidP="008E5AF1">
      <w:pPr>
        <w:numPr>
          <w:ilvl w:val="0"/>
          <w:numId w:val="1"/>
        </w:numPr>
        <w:spacing w:after="0" w:line="388" w:lineRule="atLeast"/>
        <w:textAlignment w:val="baseline"/>
        <w:rPr>
          <w:rFonts w:ascii="Open Sans" w:eastAsia="Times New Roman" w:hAnsi="Open Sans" w:cs="Open Sans"/>
          <w:color w:val="555555"/>
          <w:kern w:val="0"/>
          <w:sz w:val="24"/>
          <w:szCs w:val="24"/>
          <w:lang w:eastAsia="de-AT"/>
          <w14:ligatures w14:val="none"/>
        </w:rPr>
      </w:pPr>
      <w:r w:rsidRPr="008E5AF1">
        <w:rPr>
          <w:rFonts w:ascii="Open Sans" w:eastAsia="Times New Roman" w:hAnsi="Open Sans" w:cs="Open Sans"/>
          <w:color w:val="555555"/>
          <w:kern w:val="0"/>
          <w:sz w:val="24"/>
          <w:szCs w:val="24"/>
          <w:lang w:eastAsia="de-AT"/>
          <w14:ligatures w14:val="none"/>
        </w:rPr>
        <w:t>Von Reuters durchgeführte Umfrage unter 68 Klimaökonomen zwischen dem 1. Juli und dem 13. September 2022. 50 dieser 68 Experten gaben an, dass steigende Kreditkosten leichte oder sehr geringe Auswirkungen auf das Erreichen von Netto-CO2-Null-Emissionen bis 2050 haben würden.</w:t>
      </w:r>
    </w:p>
    <w:p w14:paraId="1C3F8944" w14:textId="77777777" w:rsidR="008E5AF1" w:rsidRPr="008E5AF1" w:rsidRDefault="008E5AF1" w:rsidP="008E5AF1">
      <w:pPr>
        <w:numPr>
          <w:ilvl w:val="0"/>
          <w:numId w:val="1"/>
        </w:numPr>
        <w:spacing w:after="0" w:line="388" w:lineRule="atLeast"/>
        <w:textAlignment w:val="baseline"/>
        <w:rPr>
          <w:rFonts w:ascii="Open Sans" w:eastAsia="Times New Roman" w:hAnsi="Open Sans" w:cs="Open Sans"/>
          <w:color w:val="555555"/>
          <w:kern w:val="0"/>
          <w:sz w:val="24"/>
          <w:szCs w:val="24"/>
          <w:lang w:eastAsia="de-AT"/>
          <w14:ligatures w14:val="none"/>
        </w:rPr>
      </w:pPr>
      <w:r w:rsidRPr="008E5AF1">
        <w:rPr>
          <w:rFonts w:ascii="Open Sans" w:eastAsia="Times New Roman" w:hAnsi="Open Sans" w:cs="Open Sans"/>
          <w:color w:val="555555"/>
          <w:kern w:val="0"/>
          <w:sz w:val="24"/>
          <w:szCs w:val="24"/>
          <w:lang w:eastAsia="de-AT"/>
          <w14:ligatures w14:val="none"/>
        </w:rPr>
        <w:t>Carbone, S. et al. (2021), „ </w:t>
      </w:r>
      <w:hyperlink r:id="rId27" w:history="1">
        <w:r w:rsidRPr="008E5AF1">
          <w:rPr>
            <w:rFonts w:ascii="Open Sans" w:eastAsia="Times New Roman" w:hAnsi="Open Sans" w:cs="Open Sans"/>
            <w:color w:val="2B7AB6"/>
            <w:kern w:val="0"/>
            <w:sz w:val="24"/>
            <w:szCs w:val="24"/>
            <w:bdr w:val="none" w:sz="0" w:space="0" w:color="auto" w:frame="1"/>
            <w:lang w:eastAsia="de-AT"/>
            <w14:ligatures w14:val="none"/>
          </w:rPr>
          <w:t xml:space="preserve">The Low-Carbon Transition, Climate </w:t>
        </w:r>
        <w:proofErr w:type="spellStart"/>
        <w:r w:rsidRPr="008E5AF1">
          <w:rPr>
            <w:rFonts w:ascii="Open Sans" w:eastAsia="Times New Roman" w:hAnsi="Open Sans" w:cs="Open Sans"/>
            <w:color w:val="2B7AB6"/>
            <w:kern w:val="0"/>
            <w:sz w:val="24"/>
            <w:szCs w:val="24"/>
            <w:bdr w:val="none" w:sz="0" w:space="0" w:color="auto" w:frame="1"/>
            <w:lang w:eastAsia="de-AT"/>
            <w14:ligatures w14:val="none"/>
          </w:rPr>
          <w:t>Commitments</w:t>
        </w:r>
        <w:proofErr w:type="spellEnd"/>
        <w:r w:rsidRPr="008E5AF1">
          <w:rPr>
            <w:rFonts w:ascii="Open Sans" w:eastAsia="Times New Roman" w:hAnsi="Open Sans" w:cs="Open Sans"/>
            <w:color w:val="2B7AB6"/>
            <w:kern w:val="0"/>
            <w:sz w:val="24"/>
            <w:szCs w:val="24"/>
            <w:bdr w:val="none" w:sz="0" w:space="0" w:color="auto" w:frame="1"/>
            <w:lang w:eastAsia="de-AT"/>
            <w14:ligatures w14:val="none"/>
          </w:rPr>
          <w:t xml:space="preserve"> and Firm </w:t>
        </w:r>
        <w:proofErr w:type="spellStart"/>
        <w:r w:rsidRPr="008E5AF1">
          <w:rPr>
            <w:rFonts w:ascii="Open Sans" w:eastAsia="Times New Roman" w:hAnsi="Open Sans" w:cs="Open Sans"/>
            <w:color w:val="2B7AB6"/>
            <w:kern w:val="0"/>
            <w:sz w:val="24"/>
            <w:szCs w:val="24"/>
            <w:bdr w:val="none" w:sz="0" w:space="0" w:color="auto" w:frame="1"/>
            <w:lang w:eastAsia="de-AT"/>
            <w14:ligatures w14:val="none"/>
          </w:rPr>
          <w:t>Credit</w:t>
        </w:r>
        <w:proofErr w:type="spellEnd"/>
        <w:r w:rsidRPr="008E5AF1">
          <w:rPr>
            <w:rFonts w:ascii="Open Sans" w:eastAsia="Times New Roman" w:hAnsi="Open Sans" w:cs="Open Sans"/>
            <w:color w:val="2B7AB6"/>
            <w:kern w:val="0"/>
            <w:sz w:val="24"/>
            <w:szCs w:val="24"/>
            <w:bdr w:val="none" w:sz="0" w:space="0" w:color="auto" w:frame="1"/>
            <w:lang w:eastAsia="de-AT"/>
            <w14:ligatures w14:val="none"/>
          </w:rPr>
          <w:t xml:space="preserve"> Risk</w:t>
        </w:r>
      </w:hyperlink>
      <w:r w:rsidRPr="008E5AF1">
        <w:rPr>
          <w:rFonts w:ascii="Open Sans" w:eastAsia="Times New Roman" w:hAnsi="Open Sans" w:cs="Open Sans"/>
          <w:color w:val="555555"/>
          <w:kern w:val="0"/>
          <w:sz w:val="24"/>
          <w:szCs w:val="24"/>
          <w:lang w:eastAsia="de-AT"/>
          <w14:ligatures w14:val="none"/>
        </w:rPr>
        <w:t> “, </w:t>
      </w:r>
      <w:r w:rsidRPr="008E5AF1">
        <w:rPr>
          <w:rFonts w:ascii="inherit" w:eastAsia="Times New Roman" w:hAnsi="inherit" w:cs="Open Sans"/>
          <w:i/>
          <w:iCs/>
          <w:color w:val="555555"/>
          <w:kern w:val="0"/>
          <w:sz w:val="24"/>
          <w:szCs w:val="24"/>
          <w:bdr w:val="none" w:sz="0" w:space="0" w:color="auto" w:frame="1"/>
          <w:lang w:eastAsia="de-AT"/>
          <w14:ligatures w14:val="none"/>
        </w:rPr>
        <w:t xml:space="preserve">Working Paper </w:t>
      </w:r>
      <w:proofErr w:type="gramStart"/>
      <w:r w:rsidRPr="008E5AF1">
        <w:rPr>
          <w:rFonts w:ascii="inherit" w:eastAsia="Times New Roman" w:hAnsi="inherit" w:cs="Open Sans"/>
          <w:i/>
          <w:iCs/>
          <w:color w:val="555555"/>
          <w:kern w:val="0"/>
          <w:sz w:val="24"/>
          <w:szCs w:val="24"/>
          <w:bdr w:val="none" w:sz="0" w:space="0" w:color="auto" w:frame="1"/>
          <w:lang w:eastAsia="de-AT"/>
          <w14:ligatures w14:val="none"/>
        </w:rPr>
        <w:t>Series</w:t>
      </w:r>
      <w:r w:rsidRPr="008E5AF1">
        <w:rPr>
          <w:rFonts w:ascii="Open Sans" w:eastAsia="Times New Roman" w:hAnsi="Open Sans" w:cs="Open Sans"/>
          <w:color w:val="555555"/>
          <w:kern w:val="0"/>
          <w:sz w:val="24"/>
          <w:szCs w:val="24"/>
          <w:lang w:eastAsia="de-AT"/>
          <w14:ligatures w14:val="none"/>
        </w:rPr>
        <w:t> ,</w:t>
      </w:r>
      <w:proofErr w:type="gramEnd"/>
      <w:r w:rsidRPr="008E5AF1">
        <w:rPr>
          <w:rFonts w:ascii="Open Sans" w:eastAsia="Times New Roman" w:hAnsi="Open Sans" w:cs="Open Sans"/>
          <w:color w:val="555555"/>
          <w:kern w:val="0"/>
          <w:sz w:val="24"/>
          <w:szCs w:val="24"/>
          <w:lang w:eastAsia="de-AT"/>
          <w14:ligatures w14:val="none"/>
        </w:rPr>
        <w:t xml:space="preserve"> Nr. 2631, EZB, Dezember.</w:t>
      </w:r>
    </w:p>
    <w:p w14:paraId="4C81B0D2" w14:textId="77777777" w:rsidR="008E5AF1" w:rsidRPr="008E5AF1" w:rsidRDefault="008E5AF1" w:rsidP="008E5AF1">
      <w:pPr>
        <w:numPr>
          <w:ilvl w:val="0"/>
          <w:numId w:val="1"/>
        </w:numPr>
        <w:spacing w:after="0" w:line="388" w:lineRule="atLeast"/>
        <w:textAlignment w:val="baseline"/>
        <w:rPr>
          <w:rFonts w:ascii="Open Sans" w:eastAsia="Times New Roman" w:hAnsi="Open Sans" w:cs="Open Sans"/>
          <w:color w:val="555555"/>
          <w:kern w:val="0"/>
          <w:sz w:val="24"/>
          <w:szCs w:val="24"/>
          <w:lang w:eastAsia="de-AT"/>
          <w14:ligatures w14:val="none"/>
        </w:rPr>
      </w:pPr>
      <w:r w:rsidRPr="008E5AF1">
        <w:rPr>
          <w:rFonts w:ascii="Open Sans" w:eastAsia="Times New Roman" w:hAnsi="Open Sans" w:cs="Open Sans"/>
          <w:color w:val="555555"/>
          <w:kern w:val="0"/>
          <w:sz w:val="24"/>
          <w:szCs w:val="24"/>
          <w:lang w:eastAsia="de-AT"/>
          <w14:ligatures w14:val="none"/>
        </w:rPr>
        <w:lastRenderedPageBreak/>
        <w:t>Schnabel, I. (2022), „ </w:t>
      </w:r>
      <w:hyperlink r:id="rId28" w:history="1">
        <w:r w:rsidRPr="008E5AF1">
          <w:rPr>
            <w:rFonts w:ascii="Open Sans" w:eastAsia="Times New Roman" w:hAnsi="Open Sans" w:cs="Open Sans"/>
            <w:color w:val="2B7AB6"/>
            <w:kern w:val="0"/>
            <w:sz w:val="24"/>
            <w:szCs w:val="24"/>
            <w:bdr w:val="none" w:sz="0" w:space="0" w:color="auto" w:frame="1"/>
            <w:lang w:eastAsia="de-AT"/>
            <w14:ligatures w14:val="none"/>
          </w:rPr>
          <w:t>In Vielfalt geeint – Herausforderungen für die Geldpolitik in einer Währungsunion</w:t>
        </w:r>
      </w:hyperlink>
      <w:r w:rsidRPr="008E5AF1">
        <w:rPr>
          <w:rFonts w:ascii="Open Sans" w:eastAsia="Times New Roman" w:hAnsi="Open Sans" w:cs="Open Sans"/>
          <w:color w:val="555555"/>
          <w:kern w:val="0"/>
          <w:sz w:val="24"/>
          <w:szCs w:val="24"/>
          <w:lang w:eastAsia="de-AT"/>
          <w14:ligatures w14:val="none"/>
        </w:rPr>
        <w:t xml:space="preserve"> “, Eröffnungsrede vor den Absolventen des Masterstudiengangs Geld, Bankwesen, Finanzen und Versicherungen der Panthéon-Sorbonne-Universität, Paris, 14 Juni; und </w:t>
      </w:r>
      <w:proofErr w:type="spellStart"/>
      <w:r w:rsidRPr="008E5AF1">
        <w:rPr>
          <w:rFonts w:ascii="Open Sans" w:eastAsia="Times New Roman" w:hAnsi="Open Sans" w:cs="Open Sans"/>
          <w:color w:val="555555"/>
          <w:kern w:val="0"/>
          <w:sz w:val="24"/>
          <w:szCs w:val="24"/>
          <w:lang w:eastAsia="de-AT"/>
          <w14:ligatures w14:val="none"/>
        </w:rPr>
        <w:t>Bouabdallah</w:t>
      </w:r>
      <w:proofErr w:type="spellEnd"/>
      <w:r w:rsidRPr="008E5AF1">
        <w:rPr>
          <w:rFonts w:ascii="Open Sans" w:eastAsia="Times New Roman" w:hAnsi="Open Sans" w:cs="Open Sans"/>
          <w:color w:val="555555"/>
          <w:kern w:val="0"/>
          <w:sz w:val="24"/>
          <w:szCs w:val="24"/>
          <w:lang w:eastAsia="de-AT"/>
          <w14:ligatures w14:val="none"/>
        </w:rPr>
        <w:t>, O. et al. (2023), „Fiskalpolitik: vom kostenlosen zum erschwinglichen Mittagessen“, The ECB Blog, 4. Januar.</w:t>
      </w:r>
    </w:p>
    <w:p w14:paraId="26694E32" w14:textId="77777777" w:rsidR="008E5AF1" w:rsidRPr="008E5AF1" w:rsidRDefault="008E5AF1" w:rsidP="008E5AF1">
      <w:pPr>
        <w:numPr>
          <w:ilvl w:val="0"/>
          <w:numId w:val="1"/>
        </w:numPr>
        <w:spacing w:after="0" w:line="388" w:lineRule="atLeast"/>
        <w:textAlignment w:val="baseline"/>
        <w:rPr>
          <w:rFonts w:ascii="Open Sans" w:eastAsia="Times New Roman" w:hAnsi="Open Sans" w:cs="Open Sans"/>
          <w:color w:val="555555"/>
          <w:kern w:val="0"/>
          <w:sz w:val="24"/>
          <w:szCs w:val="24"/>
          <w:lang w:eastAsia="de-AT"/>
          <w14:ligatures w14:val="none"/>
        </w:rPr>
      </w:pPr>
      <w:r w:rsidRPr="008E5AF1">
        <w:rPr>
          <w:rFonts w:ascii="Open Sans" w:eastAsia="Times New Roman" w:hAnsi="Open Sans" w:cs="Open Sans"/>
          <w:color w:val="555555"/>
          <w:kern w:val="0"/>
          <w:sz w:val="24"/>
          <w:szCs w:val="24"/>
          <w:lang w:eastAsia="de-AT"/>
          <w14:ligatures w14:val="none"/>
        </w:rPr>
        <w:t>Schnabel, I. (2022), „ </w:t>
      </w:r>
      <w:hyperlink r:id="rId29" w:history="1">
        <w:r w:rsidRPr="008E5AF1">
          <w:rPr>
            <w:rFonts w:ascii="Open Sans" w:eastAsia="Times New Roman" w:hAnsi="Open Sans" w:cs="Open Sans"/>
            <w:color w:val="2B7AB6"/>
            <w:kern w:val="0"/>
            <w:sz w:val="24"/>
            <w:szCs w:val="24"/>
            <w:bdr w:val="none" w:sz="0" w:space="0" w:color="auto" w:frame="1"/>
            <w:lang w:eastAsia="de-AT"/>
            <w14:ligatures w14:val="none"/>
          </w:rPr>
          <w:t>Die richtige Mischung finden: monetär-fiskalische Interaktion in Zeiten hoher Inflation</w:t>
        </w:r>
      </w:hyperlink>
      <w:r w:rsidRPr="008E5AF1">
        <w:rPr>
          <w:rFonts w:ascii="Open Sans" w:eastAsia="Times New Roman" w:hAnsi="Open Sans" w:cs="Open Sans"/>
          <w:color w:val="555555"/>
          <w:kern w:val="0"/>
          <w:sz w:val="24"/>
          <w:szCs w:val="24"/>
          <w:lang w:eastAsia="de-AT"/>
          <w14:ligatures w14:val="none"/>
        </w:rPr>
        <w:t xml:space="preserve"> “, Grundsatzrede auf der Bank </w:t>
      </w:r>
      <w:proofErr w:type="spellStart"/>
      <w:r w:rsidRPr="008E5AF1">
        <w:rPr>
          <w:rFonts w:ascii="Open Sans" w:eastAsia="Times New Roman" w:hAnsi="Open Sans" w:cs="Open Sans"/>
          <w:color w:val="555555"/>
          <w:kern w:val="0"/>
          <w:sz w:val="24"/>
          <w:szCs w:val="24"/>
          <w:lang w:eastAsia="de-AT"/>
          <w14:ligatures w14:val="none"/>
        </w:rPr>
        <w:t>of</w:t>
      </w:r>
      <w:proofErr w:type="spellEnd"/>
      <w:r w:rsidRPr="008E5AF1">
        <w:rPr>
          <w:rFonts w:ascii="Open Sans" w:eastAsia="Times New Roman" w:hAnsi="Open Sans" w:cs="Open Sans"/>
          <w:color w:val="555555"/>
          <w:kern w:val="0"/>
          <w:sz w:val="24"/>
          <w:szCs w:val="24"/>
          <w:lang w:eastAsia="de-AT"/>
          <w14:ligatures w14:val="none"/>
        </w:rPr>
        <w:t xml:space="preserve"> England Watchers' Conference, London, 24. November.</w:t>
      </w:r>
    </w:p>
    <w:p w14:paraId="30E988D7" w14:textId="77777777" w:rsidR="008E5AF1" w:rsidRPr="008E5AF1" w:rsidRDefault="008E5AF1" w:rsidP="008E5AF1">
      <w:pPr>
        <w:numPr>
          <w:ilvl w:val="0"/>
          <w:numId w:val="1"/>
        </w:numPr>
        <w:spacing w:after="0" w:line="388" w:lineRule="atLeast"/>
        <w:textAlignment w:val="baseline"/>
        <w:rPr>
          <w:rFonts w:ascii="Open Sans" w:eastAsia="Times New Roman" w:hAnsi="Open Sans" w:cs="Open Sans"/>
          <w:color w:val="555555"/>
          <w:kern w:val="0"/>
          <w:sz w:val="24"/>
          <w:szCs w:val="24"/>
          <w:lang w:eastAsia="de-AT"/>
          <w14:ligatures w14:val="none"/>
        </w:rPr>
      </w:pPr>
      <w:r w:rsidRPr="008E5AF1">
        <w:rPr>
          <w:rFonts w:ascii="Open Sans" w:eastAsia="Times New Roman" w:hAnsi="Open Sans" w:cs="Open Sans"/>
          <w:color w:val="555555"/>
          <w:kern w:val="0"/>
          <w:sz w:val="24"/>
          <w:szCs w:val="24"/>
          <w:lang w:eastAsia="de-AT"/>
          <w14:ligatures w14:val="none"/>
        </w:rPr>
        <w:t>De Haas, R. und Popov, A. (2019), „ </w:t>
      </w:r>
      <w:hyperlink r:id="rId30" w:history="1">
        <w:r w:rsidRPr="008E5AF1">
          <w:rPr>
            <w:rFonts w:ascii="Open Sans" w:eastAsia="Times New Roman" w:hAnsi="Open Sans" w:cs="Open Sans"/>
            <w:color w:val="2B7AB6"/>
            <w:kern w:val="0"/>
            <w:sz w:val="24"/>
            <w:szCs w:val="24"/>
            <w:bdr w:val="none" w:sz="0" w:space="0" w:color="auto" w:frame="1"/>
            <w:lang w:eastAsia="de-AT"/>
            <w14:ligatures w14:val="none"/>
          </w:rPr>
          <w:t xml:space="preserve">Finance and </w:t>
        </w:r>
        <w:proofErr w:type="spellStart"/>
        <w:r w:rsidRPr="008E5AF1">
          <w:rPr>
            <w:rFonts w:ascii="Open Sans" w:eastAsia="Times New Roman" w:hAnsi="Open Sans" w:cs="Open Sans"/>
            <w:color w:val="2B7AB6"/>
            <w:kern w:val="0"/>
            <w:sz w:val="24"/>
            <w:szCs w:val="24"/>
            <w:bdr w:val="none" w:sz="0" w:space="0" w:color="auto" w:frame="1"/>
            <w:lang w:eastAsia="de-AT"/>
            <w14:ligatures w14:val="none"/>
          </w:rPr>
          <w:t>carbon</w:t>
        </w:r>
        <w:proofErr w:type="spellEnd"/>
        <w:r w:rsidRPr="008E5AF1">
          <w:rPr>
            <w:rFonts w:ascii="Open Sans" w:eastAsia="Times New Roman" w:hAnsi="Open Sans" w:cs="Open Sans"/>
            <w:color w:val="2B7AB6"/>
            <w:kern w:val="0"/>
            <w:sz w:val="24"/>
            <w:szCs w:val="24"/>
            <w:bdr w:val="none" w:sz="0" w:space="0" w:color="auto" w:frame="1"/>
            <w:lang w:eastAsia="de-AT"/>
            <w14:ligatures w14:val="none"/>
          </w:rPr>
          <w:t xml:space="preserve"> </w:t>
        </w:r>
        <w:proofErr w:type="spellStart"/>
        <w:r w:rsidRPr="008E5AF1">
          <w:rPr>
            <w:rFonts w:ascii="Open Sans" w:eastAsia="Times New Roman" w:hAnsi="Open Sans" w:cs="Open Sans"/>
            <w:color w:val="2B7AB6"/>
            <w:kern w:val="0"/>
            <w:sz w:val="24"/>
            <w:szCs w:val="24"/>
            <w:bdr w:val="none" w:sz="0" w:space="0" w:color="auto" w:frame="1"/>
            <w:lang w:eastAsia="de-AT"/>
            <w14:ligatures w14:val="none"/>
          </w:rPr>
          <w:t>emissions</w:t>
        </w:r>
        <w:proofErr w:type="spellEnd"/>
      </w:hyperlink>
      <w:r w:rsidRPr="008E5AF1">
        <w:rPr>
          <w:rFonts w:ascii="Open Sans" w:eastAsia="Times New Roman" w:hAnsi="Open Sans" w:cs="Open Sans"/>
          <w:color w:val="555555"/>
          <w:kern w:val="0"/>
          <w:sz w:val="24"/>
          <w:szCs w:val="24"/>
          <w:lang w:eastAsia="de-AT"/>
          <w14:ligatures w14:val="none"/>
        </w:rPr>
        <w:t> “, </w:t>
      </w:r>
      <w:r w:rsidRPr="008E5AF1">
        <w:rPr>
          <w:rFonts w:ascii="inherit" w:eastAsia="Times New Roman" w:hAnsi="inherit" w:cs="Open Sans"/>
          <w:i/>
          <w:iCs/>
          <w:color w:val="555555"/>
          <w:kern w:val="0"/>
          <w:sz w:val="24"/>
          <w:szCs w:val="24"/>
          <w:bdr w:val="none" w:sz="0" w:space="0" w:color="auto" w:frame="1"/>
          <w:lang w:eastAsia="de-AT"/>
          <w14:ligatures w14:val="none"/>
        </w:rPr>
        <w:t xml:space="preserve">Working Paper </w:t>
      </w:r>
      <w:proofErr w:type="gramStart"/>
      <w:r w:rsidRPr="008E5AF1">
        <w:rPr>
          <w:rFonts w:ascii="inherit" w:eastAsia="Times New Roman" w:hAnsi="inherit" w:cs="Open Sans"/>
          <w:i/>
          <w:iCs/>
          <w:color w:val="555555"/>
          <w:kern w:val="0"/>
          <w:sz w:val="24"/>
          <w:szCs w:val="24"/>
          <w:bdr w:val="none" w:sz="0" w:space="0" w:color="auto" w:frame="1"/>
          <w:lang w:eastAsia="de-AT"/>
          <w14:ligatures w14:val="none"/>
        </w:rPr>
        <w:t>Series</w:t>
      </w:r>
      <w:r w:rsidRPr="008E5AF1">
        <w:rPr>
          <w:rFonts w:ascii="Open Sans" w:eastAsia="Times New Roman" w:hAnsi="Open Sans" w:cs="Open Sans"/>
          <w:color w:val="555555"/>
          <w:kern w:val="0"/>
          <w:sz w:val="24"/>
          <w:szCs w:val="24"/>
          <w:lang w:eastAsia="de-AT"/>
          <w14:ligatures w14:val="none"/>
        </w:rPr>
        <w:t> ,</w:t>
      </w:r>
      <w:proofErr w:type="gramEnd"/>
      <w:r w:rsidRPr="008E5AF1">
        <w:rPr>
          <w:rFonts w:ascii="Open Sans" w:eastAsia="Times New Roman" w:hAnsi="Open Sans" w:cs="Open Sans"/>
          <w:color w:val="555555"/>
          <w:kern w:val="0"/>
          <w:sz w:val="24"/>
          <w:szCs w:val="24"/>
          <w:lang w:eastAsia="de-AT"/>
          <w14:ligatures w14:val="none"/>
        </w:rPr>
        <w:t xml:space="preserve"> Nr. 2318, EZB, September.</w:t>
      </w:r>
    </w:p>
    <w:p w14:paraId="0A336E2F" w14:textId="77777777" w:rsidR="008E5AF1" w:rsidRPr="008E5AF1" w:rsidRDefault="008E5AF1" w:rsidP="008E5AF1">
      <w:pPr>
        <w:numPr>
          <w:ilvl w:val="0"/>
          <w:numId w:val="1"/>
        </w:numPr>
        <w:spacing w:after="0" w:line="388" w:lineRule="atLeast"/>
        <w:textAlignment w:val="baseline"/>
        <w:rPr>
          <w:rFonts w:ascii="Open Sans" w:eastAsia="Times New Roman" w:hAnsi="Open Sans" w:cs="Open Sans"/>
          <w:color w:val="555555"/>
          <w:kern w:val="0"/>
          <w:sz w:val="24"/>
          <w:szCs w:val="24"/>
          <w:lang w:eastAsia="de-AT"/>
          <w14:ligatures w14:val="none"/>
        </w:rPr>
      </w:pPr>
      <w:r w:rsidRPr="008E5AF1">
        <w:rPr>
          <w:rFonts w:ascii="Open Sans" w:eastAsia="Times New Roman" w:hAnsi="Open Sans" w:cs="Open Sans"/>
          <w:color w:val="555555"/>
          <w:kern w:val="0"/>
          <w:sz w:val="24"/>
          <w:szCs w:val="24"/>
          <w:lang w:eastAsia="de-AT"/>
          <w14:ligatures w14:val="none"/>
        </w:rPr>
        <w:t>Europäische Kommission (2022), „ </w:t>
      </w:r>
      <w:hyperlink r:id="rId31" w:history="1">
        <w:r w:rsidRPr="008E5AF1">
          <w:rPr>
            <w:rFonts w:ascii="Open Sans" w:eastAsia="Times New Roman" w:hAnsi="Open Sans" w:cs="Open Sans"/>
            <w:color w:val="2B7AB6"/>
            <w:kern w:val="0"/>
            <w:sz w:val="24"/>
            <w:szCs w:val="24"/>
            <w:bdr w:val="none" w:sz="0" w:space="0" w:color="auto" w:frame="1"/>
            <w:lang w:eastAsia="de-AT"/>
            <w14:ligatures w14:val="none"/>
          </w:rPr>
          <w:t>Kapitalmarktunion: Clearing-, Insolvenz- und Notierungspaket</w:t>
        </w:r>
      </w:hyperlink>
      <w:r w:rsidRPr="008E5AF1">
        <w:rPr>
          <w:rFonts w:ascii="Open Sans" w:eastAsia="Times New Roman" w:hAnsi="Open Sans" w:cs="Open Sans"/>
          <w:color w:val="555555"/>
          <w:kern w:val="0"/>
          <w:sz w:val="24"/>
          <w:szCs w:val="24"/>
          <w:lang w:eastAsia="de-AT"/>
          <w14:ligatures w14:val="none"/>
        </w:rPr>
        <w:t> “, 7. Dezember.</w:t>
      </w:r>
    </w:p>
    <w:p w14:paraId="7216BEE3" w14:textId="77777777" w:rsidR="008E5AF1" w:rsidRPr="008E5AF1" w:rsidRDefault="008E5AF1" w:rsidP="008E5AF1">
      <w:pPr>
        <w:numPr>
          <w:ilvl w:val="0"/>
          <w:numId w:val="1"/>
        </w:numPr>
        <w:spacing w:after="0" w:line="388" w:lineRule="atLeast"/>
        <w:textAlignment w:val="baseline"/>
        <w:rPr>
          <w:rFonts w:ascii="Open Sans" w:eastAsia="Times New Roman" w:hAnsi="Open Sans" w:cs="Open Sans"/>
          <w:color w:val="555555"/>
          <w:kern w:val="0"/>
          <w:sz w:val="24"/>
          <w:szCs w:val="24"/>
          <w:lang w:eastAsia="de-AT"/>
          <w14:ligatures w14:val="none"/>
        </w:rPr>
      </w:pPr>
      <w:r w:rsidRPr="008E5AF1">
        <w:rPr>
          <w:rFonts w:ascii="Open Sans" w:eastAsia="Times New Roman" w:hAnsi="Open Sans" w:cs="Open Sans"/>
          <w:color w:val="555555"/>
          <w:kern w:val="0"/>
          <w:sz w:val="24"/>
          <w:szCs w:val="24"/>
          <w:lang w:eastAsia="de-AT"/>
          <w14:ligatures w14:val="none"/>
        </w:rPr>
        <w:t>Siehe Lagarde, C. (2021), „Auf dem Weg zu einer grünen Kapitalmarktunion für Europa“, Rede auf der hochrangigen Konferenz der Europäischen Kommission zum Vorschlag für eine Richtlinie zur Nachhaltigkeitsberichterstattung von Unternehmen, 6. Mai.</w:t>
      </w:r>
    </w:p>
    <w:p w14:paraId="6DA6050C" w14:textId="77777777" w:rsidR="008E5AF1" w:rsidRPr="008E5AF1" w:rsidRDefault="008E5AF1" w:rsidP="008E5AF1">
      <w:pPr>
        <w:numPr>
          <w:ilvl w:val="0"/>
          <w:numId w:val="1"/>
        </w:numPr>
        <w:spacing w:after="0" w:line="388" w:lineRule="atLeast"/>
        <w:textAlignment w:val="baseline"/>
        <w:rPr>
          <w:rFonts w:ascii="Open Sans" w:eastAsia="Times New Roman" w:hAnsi="Open Sans" w:cs="Open Sans"/>
          <w:color w:val="555555"/>
          <w:kern w:val="0"/>
          <w:sz w:val="24"/>
          <w:szCs w:val="24"/>
          <w:lang w:eastAsia="de-AT"/>
          <w14:ligatures w14:val="none"/>
        </w:rPr>
      </w:pPr>
      <w:r w:rsidRPr="008E5AF1">
        <w:rPr>
          <w:rFonts w:ascii="Open Sans" w:eastAsia="Times New Roman" w:hAnsi="Open Sans" w:cs="Open Sans"/>
          <w:color w:val="555555"/>
          <w:kern w:val="0"/>
          <w:sz w:val="24"/>
          <w:szCs w:val="24"/>
          <w:lang w:eastAsia="de-AT"/>
          <w14:ligatures w14:val="none"/>
        </w:rPr>
        <w:t>Siehe EZB (2021), „ </w:t>
      </w:r>
      <w:hyperlink r:id="rId32" w:history="1">
        <w:r w:rsidRPr="008E5AF1">
          <w:rPr>
            <w:rFonts w:ascii="Open Sans" w:eastAsia="Times New Roman" w:hAnsi="Open Sans" w:cs="Open Sans"/>
            <w:color w:val="2B7AB6"/>
            <w:kern w:val="0"/>
            <w:sz w:val="24"/>
            <w:szCs w:val="24"/>
            <w:bdr w:val="none" w:sz="0" w:space="0" w:color="auto" w:frame="1"/>
            <w:lang w:eastAsia="de-AT"/>
            <w14:ligatures w14:val="none"/>
          </w:rPr>
          <w:t>EZB präsentiert Aktionsplan zur Einbeziehung von Überlegungen zum Klimawandel in ihre geldpolitische Strategie</w:t>
        </w:r>
      </w:hyperlink>
      <w:r w:rsidRPr="008E5AF1">
        <w:rPr>
          <w:rFonts w:ascii="Open Sans" w:eastAsia="Times New Roman" w:hAnsi="Open Sans" w:cs="Open Sans"/>
          <w:color w:val="555555"/>
          <w:kern w:val="0"/>
          <w:sz w:val="24"/>
          <w:szCs w:val="24"/>
          <w:lang w:eastAsia="de-AT"/>
          <w14:ligatures w14:val="none"/>
        </w:rPr>
        <w:t> “, 8. Juli; und EZB (2022), „ </w:t>
      </w:r>
      <w:hyperlink r:id="rId33" w:history="1">
        <w:r w:rsidRPr="008E5AF1">
          <w:rPr>
            <w:rFonts w:ascii="Open Sans" w:eastAsia="Times New Roman" w:hAnsi="Open Sans" w:cs="Open Sans"/>
            <w:color w:val="2B7AB6"/>
            <w:kern w:val="0"/>
            <w:sz w:val="24"/>
            <w:szCs w:val="24"/>
            <w:bdr w:val="none" w:sz="0" w:space="0" w:color="auto" w:frame="1"/>
            <w:lang w:eastAsia="de-AT"/>
            <w14:ligatures w14:val="none"/>
          </w:rPr>
          <w:t>Die EZB unternimmt weitere Schritte, um den Klimawandel in ihre geldpolitischen Geschäfte einzubeziehen</w:t>
        </w:r>
      </w:hyperlink>
      <w:r w:rsidRPr="008E5AF1">
        <w:rPr>
          <w:rFonts w:ascii="Open Sans" w:eastAsia="Times New Roman" w:hAnsi="Open Sans" w:cs="Open Sans"/>
          <w:color w:val="555555"/>
          <w:kern w:val="0"/>
          <w:sz w:val="24"/>
          <w:szCs w:val="24"/>
          <w:lang w:eastAsia="de-AT"/>
          <w14:ligatures w14:val="none"/>
        </w:rPr>
        <w:t> “, 4. Juli.</w:t>
      </w:r>
    </w:p>
    <w:p w14:paraId="151C7D7F" w14:textId="77777777" w:rsidR="008E5AF1" w:rsidRPr="008E5AF1" w:rsidRDefault="008E5AF1" w:rsidP="008E5AF1">
      <w:pPr>
        <w:numPr>
          <w:ilvl w:val="0"/>
          <w:numId w:val="1"/>
        </w:numPr>
        <w:spacing w:after="0" w:line="388" w:lineRule="atLeast"/>
        <w:textAlignment w:val="baseline"/>
        <w:rPr>
          <w:rFonts w:ascii="Open Sans" w:eastAsia="Times New Roman" w:hAnsi="Open Sans" w:cs="Open Sans"/>
          <w:color w:val="555555"/>
          <w:kern w:val="0"/>
          <w:sz w:val="24"/>
          <w:szCs w:val="24"/>
          <w:lang w:eastAsia="de-AT"/>
          <w14:ligatures w14:val="none"/>
        </w:rPr>
      </w:pPr>
      <w:r w:rsidRPr="008E5AF1">
        <w:rPr>
          <w:rFonts w:ascii="Open Sans" w:eastAsia="Times New Roman" w:hAnsi="Open Sans" w:cs="Open Sans"/>
          <w:color w:val="555555"/>
          <w:kern w:val="0"/>
          <w:sz w:val="24"/>
          <w:szCs w:val="24"/>
          <w:lang w:eastAsia="de-AT"/>
          <w14:ligatures w14:val="none"/>
        </w:rPr>
        <w:t xml:space="preserve">Nachdem die EZB am 4. Juli 2022 beschlossen hatte, ihre Unternehmensanleihebestände zu </w:t>
      </w:r>
      <w:proofErr w:type="spellStart"/>
      <w:r w:rsidRPr="008E5AF1">
        <w:rPr>
          <w:rFonts w:ascii="Open Sans" w:eastAsia="Times New Roman" w:hAnsi="Open Sans" w:cs="Open Sans"/>
          <w:color w:val="555555"/>
          <w:kern w:val="0"/>
          <w:sz w:val="24"/>
          <w:szCs w:val="24"/>
          <w:lang w:eastAsia="de-AT"/>
          <w14:ligatures w14:val="none"/>
        </w:rPr>
        <w:t>dekarbonisieren</w:t>
      </w:r>
      <w:proofErr w:type="spellEnd"/>
      <w:r w:rsidRPr="008E5AF1">
        <w:rPr>
          <w:rFonts w:ascii="Open Sans" w:eastAsia="Times New Roman" w:hAnsi="Open Sans" w:cs="Open Sans"/>
          <w:color w:val="555555"/>
          <w:kern w:val="0"/>
          <w:sz w:val="24"/>
          <w:szCs w:val="24"/>
          <w:lang w:eastAsia="de-AT"/>
          <w14:ligatures w14:val="none"/>
        </w:rPr>
        <w:t>, legte sie Einzelheiten zum Kippmechanismus vor, der anschließend ab Oktober 2022 umgesetzt wurde (siehe </w:t>
      </w:r>
      <w:hyperlink r:id="rId34" w:history="1">
        <w:r w:rsidRPr="008E5AF1">
          <w:rPr>
            <w:rFonts w:ascii="Open Sans" w:eastAsia="Times New Roman" w:hAnsi="Open Sans" w:cs="Open Sans"/>
            <w:color w:val="2B7AB6"/>
            <w:kern w:val="0"/>
            <w:sz w:val="24"/>
            <w:szCs w:val="24"/>
            <w:bdr w:val="none" w:sz="0" w:space="0" w:color="auto" w:frame="1"/>
            <w:lang w:eastAsia="de-AT"/>
            <w14:ligatures w14:val="none"/>
          </w:rPr>
          <w:t>Pressemitteilung</w:t>
        </w:r>
      </w:hyperlink>
      <w:r w:rsidRPr="008E5AF1">
        <w:rPr>
          <w:rFonts w:ascii="Open Sans" w:eastAsia="Times New Roman" w:hAnsi="Open Sans" w:cs="Open Sans"/>
          <w:color w:val="555555"/>
          <w:kern w:val="0"/>
          <w:sz w:val="24"/>
          <w:szCs w:val="24"/>
          <w:lang w:eastAsia="de-AT"/>
          <w14:ligatures w14:val="none"/>
        </w:rPr>
        <w:t> vom 19. September 2022). Bereits im Februar 2021 hat sich das Eurosystem auf eine gemeinsame Haltung zu klimawandelbezogenen nachhaltigen und verantwortungsvollen Investitionsprinzipien für seine auf Euro lautenden nicht-geldpolitischen Portfolios geeinigt (siehe Pressemitteilung vom </w:t>
      </w:r>
      <w:hyperlink r:id="rId35" w:history="1">
        <w:r w:rsidRPr="008E5AF1">
          <w:rPr>
            <w:rFonts w:ascii="Open Sans" w:eastAsia="Times New Roman" w:hAnsi="Open Sans" w:cs="Open Sans"/>
            <w:color w:val="2B7AB6"/>
            <w:kern w:val="0"/>
            <w:sz w:val="24"/>
            <w:szCs w:val="24"/>
            <w:bdr w:val="none" w:sz="0" w:space="0" w:color="auto" w:frame="1"/>
            <w:lang w:eastAsia="de-AT"/>
            <w14:ligatures w14:val="none"/>
          </w:rPr>
          <w:t>4.</w:t>
        </w:r>
      </w:hyperlink>
      <w:r w:rsidRPr="008E5AF1">
        <w:rPr>
          <w:rFonts w:ascii="Open Sans" w:eastAsia="Times New Roman" w:hAnsi="Open Sans" w:cs="Open Sans"/>
          <w:color w:val="555555"/>
          <w:kern w:val="0"/>
          <w:sz w:val="24"/>
          <w:szCs w:val="24"/>
          <w:lang w:eastAsia="de-AT"/>
          <w14:ligatures w14:val="none"/>
        </w:rPr>
        <w:t xml:space="preserve"> Februar 2021). Empirische Belege zeigen, dass die Bestände des Eurosystems im Rahmen des Programms zum Ankauf von Unternehmenssektoren (Corporate </w:t>
      </w:r>
      <w:proofErr w:type="spellStart"/>
      <w:r w:rsidRPr="008E5AF1">
        <w:rPr>
          <w:rFonts w:ascii="Open Sans" w:eastAsia="Times New Roman" w:hAnsi="Open Sans" w:cs="Open Sans"/>
          <w:color w:val="555555"/>
          <w:kern w:val="0"/>
          <w:sz w:val="24"/>
          <w:szCs w:val="24"/>
          <w:lang w:eastAsia="de-AT"/>
          <w14:ligatures w14:val="none"/>
        </w:rPr>
        <w:t>Sector</w:t>
      </w:r>
      <w:proofErr w:type="spellEnd"/>
      <w:r w:rsidRPr="008E5AF1">
        <w:rPr>
          <w:rFonts w:ascii="Open Sans" w:eastAsia="Times New Roman" w:hAnsi="Open Sans" w:cs="Open Sans"/>
          <w:color w:val="555555"/>
          <w:kern w:val="0"/>
          <w:sz w:val="24"/>
          <w:szCs w:val="24"/>
          <w:lang w:eastAsia="de-AT"/>
          <w14:ligatures w14:val="none"/>
        </w:rPr>
        <w:t xml:space="preserve"> </w:t>
      </w:r>
      <w:proofErr w:type="spellStart"/>
      <w:r w:rsidRPr="008E5AF1">
        <w:rPr>
          <w:rFonts w:ascii="Open Sans" w:eastAsia="Times New Roman" w:hAnsi="Open Sans" w:cs="Open Sans"/>
          <w:color w:val="555555"/>
          <w:kern w:val="0"/>
          <w:sz w:val="24"/>
          <w:szCs w:val="24"/>
          <w:lang w:eastAsia="de-AT"/>
          <w14:ligatures w14:val="none"/>
        </w:rPr>
        <w:t>Purchase</w:t>
      </w:r>
      <w:proofErr w:type="spellEnd"/>
      <w:r w:rsidRPr="008E5AF1">
        <w:rPr>
          <w:rFonts w:ascii="Open Sans" w:eastAsia="Times New Roman" w:hAnsi="Open Sans" w:cs="Open Sans"/>
          <w:color w:val="555555"/>
          <w:kern w:val="0"/>
          <w:sz w:val="24"/>
          <w:szCs w:val="24"/>
          <w:lang w:eastAsia="de-AT"/>
          <w14:ligatures w14:val="none"/>
        </w:rPr>
        <w:t xml:space="preserve"> Programme, CSPP) auf kohlenstoffintensivere Unternehmen ausgerichtet sind, da diese einen größeren Investitionsbedarf haben und daher einen unverhältnismäßig großen Anteil am investierbaren Universum ausmachen. Siehe auch Schnabel, I. </w:t>
      </w:r>
      <w:r w:rsidRPr="008E5AF1">
        <w:rPr>
          <w:rFonts w:ascii="Open Sans" w:eastAsia="Times New Roman" w:hAnsi="Open Sans" w:cs="Open Sans"/>
          <w:color w:val="555555"/>
          <w:kern w:val="0"/>
          <w:sz w:val="24"/>
          <w:szCs w:val="24"/>
          <w:lang w:eastAsia="de-AT"/>
          <w14:ligatures w14:val="none"/>
        </w:rPr>
        <w:lastRenderedPageBreak/>
        <w:t>(2021), „ </w:t>
      </w:r>
      <w:hyperlink r:id="rId36" w:history="1">
        <w:r w:rsidRPr="008E5AF1">
          <w:rPr>
            <w:rFonts w:ascii="Open Sans" w:eastAsia="Times New Roman" w:hAnsi="Open Sans" w:cs="Open Sans"/>
            <w:color w:val="2B7AB6"/>
            <w:kern w:val="0"/>
            <w:sz w:val="24"/>
            <w:szCs w:val="24"/>
            <w:bdr w:val="none" w:sz="0" w:space="0" w:color="auto" w:frame="1"/>
            <w:lang w:eastAsia="de-AT"/>
            <w14:ligatures w14:val="none"/>
          </w:rPr>
          <w:t>Von der grünen Vernachlässigung zur grünen Dominanz?“ </w:t>
        </w:r>
      </w:hyperlink>
      <w:r w:rsidRPr="008E5AF1">
        <w:rPr>
          <w:rFonts w:ascii="Open Sans" w:eastAsia="Times New Roman" w:hAnsi="Open Sans" w:cs="Open Sans"/>
          <w:color w:val="555555"/>
          <w:kern w:val="0"/>
          <w:sz w:val="24"/>
          <w:szCs w:val="24"/>
          <w:lang w:eastAsia="de-AT"/>
          <w14:ligatures w14:val="none"/>
        </w:rPr>
        <w:t xml:space="preserve">“, Rede beim Online-Seminar „Greening </w:t>
      </w:r>
      <w:proofErr w:type="spellStart"/>
      <w:r w:rsidRPr="008E5AF1">
        <w:rPr>
          <w:rFonts w:ascii="Open Sans" w:eastAsia="Times New Roman" w:hAnsi="Open Sans" w:cs="Open Sans"/>
          <w:color w:val="555555"/>
          <w:kern w:val="0"/>
          <w:sz w:val="24"/>
          <w:szCs w:val="24"/>
          <w:lang w:eastAsia="de-AT"/>
          <w14:ligatures w14:val="none"/>
        </w:rPr>
        <w:t>Monetary</w:t>
      </w:r>
      <w:proofErr w:type="spellEnd"/>
      <w:r w:rsidRPr="008E5AF1">
        <w:rPr>
          <w:rFonts w:ascii="Open Sans" w:eastAsia="Times New Roman" w:hAnsi="Open Sans" w:cs="Open Sans"/>
          <w:color w:val="555555"/>
          <w:kern w:val="0"/>
          <w:sz w:val="24"/>
          <w:szCs w:val="24"/>
          <w:lang w:eastAsia="de-AT"/>
          <w14:ligatures w14:val="none"/>
        </w:rPr>
        <w:t xml:space="preserve"> Policy – ​​Central Banking and Climate Change“, 3. März; und </w:t>
      </w:r>
      <w:proofErr w:type="spellStart"/>
      <w:r w:rsidRPr="008E5AF1">
        <w:rPr>
          <w:rFonts w:ascii="Open Sans" w:eastAsia="Times New Roman" w:hAnsi="Open Sans" w:cs="Open Sans"/>
          <w:color w:val="555555"/>
          <w:kern w:val="0"/>
          <w:sz w:val="24"/>
          <w:szCs w:val="24"/>
          <w:lang w:eastAsia="de-AT"/>
          <w14:ligatures w14:val="none"/>
        </w:rPr>
        <w:t>Papoutsi</w:t>
      </w:r>
      <w:proofErr w:type="spellEnd"/>
      <w:r w:rsidRPr="008E5AF1">
        <w:rPr>
          <w:rFonts w:ascii="Open Sans" w:eastAsia="Times New Roman" w:hAnsi="Open Sans" w:cs="Open Sans"/>
          <w:color w:val="555555"/>
          <w:kern w:val="0"/>
          <w:sz w:val="24"/>
          <w:szCs w:val="24"/>
          <w:lang w:eastAsia="de-AT"/>
          <w14:ligatures w14:val="none"/>
        </w:rPr>
        <w:t xml:space="preserve">, M., </w:t>
      </w:r>
      <w:proofErr w:type="spellStart"/>
      <w:r w:rsidRPr="008E5AF1">
        <w:rPr>
          <w:rFonts w:ascii="Open Sans" w:eastAsia="Times New Roman" w:hAnsi="Open Sans" w:cs="Open Sans"/>
          <w:color w:val="555555"/>
          <w:kern w:val="0"/>
          <w:sz w:val="24"/>
          <w:szCs w:val="24"/>
          <w:lang w:eastAsia="de-AT"/>
          <w14:ligatures w14:val="none"/>
        </w:rPr>
        <w:t>Piazzesi</w:t>
      </w:r>
      <w:proofErr w:type="spellEnd"/>
      <w:r w:rsidRPr="008E5AF1">
        <w:rPr>
          <w:rFonts w:ascii="Open Sans" w:eastAsia="Times New Roman" w:hAnsi="Open Sans" w:cs="Open Sans"/>
          <w:color w:val="555555"/>
          <w:kern w:val="0"/>
          <w:sz w:val="24"/>
          <w:szCs w:val="24"/>
          <w:lang w:eastAsia="de-AT"/>
          <w14:ligatures w14:val="none"/>
        </w:rPr>
        <w:t>, M. und Schneider, M. (2021), „ </w:t>
      </w:r>
      <w:hyperlink r:id="rId37" w:history="1">
        <w:r w:rsidRPr="008E5AF1">
          <w:rPr>
            <w:rFonts w:ascii="Open Sans" w:eastAsia="Times New Roman" w:hAnsi="Open Sans" w:cs="Open Sans"/>
            <w:color w:val="2B7AB6"/>
            <w:kern w:val="0"/>
            <w:sz w:val="24"/>
            <w:szCs w:val="24"/>
            <w:bdr w:val="none" w:sz="0" w:space="0" w:color="auto" w:frame="1"/>
            <w:lang w:eastAsia="de-AT"/>
            <w14:ligatures w14:val="none"/>
          </w:rPr>
          <w:t>Wie unkonventionell ist grüne Geldpolitik? “ </w:t>
        </w:r>
      </w:hyperlink>
      <w:r w:rsidRPr="008E5AF1">
        <w:rPr>
          <w:rFonts w:ascii="Open Sans" w:eastAsia="Times New Roman" w:hAnsi="Open Sans" w:cs="Open Sans"/>
          <w:color w:val="555555"/>
          <w:kern w:val="0"/>
          <w:sz w:val="24"/>
          <w:szCs w:val="24"/>
          <w:lang w:eastAsia="de-AT"/>
          <w14:ligatures w14:val="none"/>
        </w:rPr>
        <w:t>“, JEEA-FBBVA-Vortrag bei ASSA, Januar.</w:t>
      </w:r>
    </w:p>
    <w:p w14:paraId="0107266A" w14:textId="77777777" w:rsidR="008E5AF1" w:rsidRPr="008E5AF1" w:rsidRDefault="008E5AF1" w:rsidP="008E5AF1">
      <w:pPr>
        <w:numPr>
          <w:ilvl w:val="0"/>
          <w:numId w:val="1"/>
        </w:numPr>
        <w:spacing w:after="0" w:line="388" w:lineRule="atLeast"/>
        <w:textAlignment w:val="baseline"/>
        <w:rPr>
          <w:rFonts w:ascii="Open Sans" w:eastAsia="Times New Roman" w:hAnsi="Open Sans" w:cs="Open Sans"/>
          <w:color w:val="555555"/>
          <w:kern w:val="0"/>
          <w:sz w:val="24"/>
          <w:szCs w:val="24"/>
          <w:lang w:eastAsia="de-AT"/>
          <w14:ligatures w14:val="none"/>
        </w:rPr>
      </w:pPr>
      <w:r w:rsidRPr="008E5AF1">
        <w:rPr>
          <w:rFonts w:ascii="Open Sans" w:eastAsia="Times New Roman" w:hAnsi="Open Sans" w:cs="Open Sans"/>
          <w:color w:val="555555"/>
          <w:kern w:val="0"/>
          <w:sz w:val="24"/>
          <w:szCs w:val="24"/>
          <w:lang w:eastAsia="de-AT"/>
          <w14:ligatures w14:val="none"/>
        </w:rPr>
        <w:t>Der CO2-Fußabdruck des Bestands an Unternehmensanleihen hängt vom Nettovermögensfluss ab, der nicht nur durch die Beträge der Reinvestitionen nach der geneigten Benchmark-Allokation bestimmt wird, sondern auch durch die Menge und Zusammensetzung der fälligen Vermögenswerte in einem bestimmten Monat. Wenn in einem bestimmten Monat viele Vermögenswerte von kohlenstoffintensiven Unternehmen zurückgenommen werden, verringert sich dadurch der gesamte CO2-Fußabdruck des Portfolios und umgekehrt. Dies kann von Monat zu Monat zu zusätzlichen Schwankungen im CO2-Fußabdruck des Portfolios führen.</w:t>
      </w:r>
    </w:p>
    <w:p w14:paraId="23352286" w14:textId="4B7B1043" w:rsidR="008E5AF1" w:rsidRPr="00D84BC6" w:rsidRDefault="008E5AF1" w:rsidP="00D84BC6">
      <w:pPr>
        <w:numPr>
          <w:ilvl w:val="0"/>
          <w:numId w:val="1"/>
        </w:numPr>
        <w:spacing w:after="0" w:line="388" w:lineRule="atLeast"/>
        <w:textAlignment w:val="baseline"/>
        <w:rPr>
          <w:rFonts w:ascii="Open Sans" w:eastAsia="Times New Roman" w:hAnsi="Open Sans" w:cs="Open Sans"/>
          <w:color w:val="555555"/>
          <w:kern w:val="0"/>
          <w:sz w:val="24"/>
          <w:szCs w:val="24"/>
          <w:lang w:eastAsia="de-AT"/>
          <w14:ligatures w14:val="none"/>
        </w:rPr>
      </w:pPr>
      <w:r w:rsidRPr="008E5AF1">
        <w:rPr>
          <w:rFonts w:ascii="Open Sans" w:eastAsia="Times New Roman" w:hAnsi="Open Sans" w:cs="Open Sans"/>
          <w:color w:val="555555"/>
          <w:kern w:val="0"/>
          <w:sz w:val="24"/>
          <w:szCs w:val="24"/>
          <w:lang w:eastAsia="de-AT"/>
          <w14:ligatures w14:val="none"/>
        </w:rPr>
        <w:t xml:space="preserve">Die Dekarbonisierung wird auch durch konjunkturelle Faktoren beeinflusst, wie der Rückgang der absoluten Emissionen während der Pandemie gezeigt hat. Gleichzeitig nehmen die Kohlenstoffintensitäten in Jahren mit geringerer Wirtschaftsaktivität tendenziell zu, da der Zähler (Treibhausgasemissionen) langsamer sinkt als der Nenner (z. B. Einnahmen). Ein an Paris ausgerichteter </w:t>
      </w:r>
      <w:proofErr w:type="spellStart"/>
      <w:r w:rsidRPr="008E5AF1">
        <w:rPr>
          <w:rFonts w:ascii="Open Sans" w:eastAsia="Times New Roman" w:hAnsi="Open Sans" w:cs="Open Sans"/>
          <w:color w:val="555555"/>
          <w:kern w:val="0"/>
          <w:sz w:val="24"/>
          <w:szCs w:val="24"/>
          <w:lang w:eastAsia="de-AT"/>
          <w14:ligatures w14:val="none"/>
        </w:rPr>
        <w:t>Dekarbonisierungspfad</w:t>
      </w:r>
      <w:proofErr w:type="spellEnd"/>
      <w:r w:rsidRPr="008E5AF1">
        <w:rPr>
          <w:rFonts w:ascii="Open Sans" w:eastAsia="Times New Roman" w:hAnsi="Open Sans" w:cs="Open Sans"/>
          <w:color w:val="555555"/>
          <w:kern w:val="0"/>
          <w:sz w:val="24"/>
          <w:szCs w:val="24"/>
          <w:lang w:eastAsia="de-AT"/>
          <w14:ligatures w14:val="none"/>
        </w:rPr>
        <w:t xml:space="preserve"> würde im Idealfall einen robusten Ansatz gewährleisten, der kurzfristige Schwankungen der Kohlenstoffemissionen und Kohlenstoffintensitäten im Zusammenhang mit rein konjunkturellen Faktoren berücksichtigt.</w:t>
      </w:r>
    </w:p>
    <w:p w14:paraId="616DAA58" w14:textId="77777777" w:rsidR="00D84BC6" w:rsidRDefault="00D84BC6"/>
    <w:p w14:paraId="1D00D0F6" w14:textId="77777777" w:rsidR="00D84BC6" w:rsidRDefault="00D84BC6" w:rsidP="00D84BC6">
      <w:pPr>
        <w:pBdr>
          <w:between w:val="threeDEngrave" w:sz="24" w:space="1" w:color="1F3864" w:themeColor="accent1" w:themeShade="80"/>
        </w:pBdr>
      </w:pPr>
    </w:p>
    <w:p w14:paraId="0CEC64C3" w14:textId="77777777" w:rsidR="00D84BC6" w:rsidRPr="00D84BC6" w:rsidRDefault="00D84BC6" w:rsidP="00D84BC6">
      <w:pPr>
        <w:shd w:val="clear" w:color="auto" w:fill="FFFFFF"/>
        <w:spacing w:line="680" w:lineRule="atLeast"/>
        <w:textAlignment w:val="baseline"/>
        <w:outlineLvl w:val="0"/>
        <w:rPr>
          <w:rFonts w:ascii="inherit" w:eastAsia="Times New Roman" w:hAnsi="inherit" w:cs="Open Sans"/>
          <w:b/>
          <w:bCs/>
          <w:color w:val="000000"/>
          <w:kern w:val="36"/>
          <w:sz w:val="51"/>
          <w:szCs w:val="51"/>
          <w:lang w:eastAsia="de-AT"/>
          <w14:ligatures w14:val="none"/>
        </w:rPr>
      </w:pPr>
      <w:r w:rsidRPr="00D84BC6">
        <w:rPr>
          <w:rFonts w:ascii="inherit" w:eastAsia="Times New Roman" w:hAnsi="inherit" w:cs="Open Sans"/>
          <w:b/>
          <w:bCs/>
          <w:color w:val="000000"/>
          <w:kern w:val="36"/>
          <w:sz w:val="51"/>
          <w:szCs w:val="51"/>
          <w:lang w:eastAsia="de-AT"/>
          <w14:ligatures w14:val="none"/>
        </w:rPr>
        <w:t>Die letzte Meile</w:t>
      </w:r>
    </w:p>
    <w:p w14:paraId="63E25631" w14:textId="77777777" w:rsidR="00D84BC6" w:rsidRPr="00D84BC6" w:rsidRDefault="00D84BC6" w:rsidP="00D84BC6">
      <w:pPr>
        <w:spacing w:after="300" w:line="582" w:lineRule="atLeast"/>
        <w:textAlignment w:val="baseline"/>
        <w:outlineLvl w:val="1"/>
        <w:rPr>
          <w:rFonts w:ascii="inherit" w:eastAsia="Times New Roman" w:hAnsi="inherit" w:cs="Open Sans"/>
          <w:b/>
          <w:bCs/>
          <w:color w:val="003299"/>
          <w:kern w:val="0"/>
          <w:sz w:val="42"/>
          <w:szCs w:val="42"/>
          <w:lang w:eastAsia="de-AT"/>
          <w14:ligatures w14:val="none"/>
        </w:rPr>
      </w:pPr>
      <w:r w:rsidRPr="00D84BC6">
        <w:rPr>
          <w:rFonts w:ascii="inherit" w:eastAsia="Times New Roman" w:hAnsi="inherit" w:cs="Open Sans"/>
          <w:b/>
          <w:bCs/>
          <w:color w:val="003299"/>
          <w:kern w:val="0"/>
          <w:sz w:val="42"/>
          <w:szCs w:val="42"/>
          <w:lang w:eastAsia="de-AT"/>
          <w14:ligatures w14:val="none"/>
        </w:rPr>
        <w:t xml:space="preserve">Grundsatzrede von Isabel Schnabel, Mitglied des Direktoriums der EZB, bei der jährlichen Homer Jones Memorial </w:t>
      </w:r>
      <w:proofErr w:type="spellStart"/>
      <w:r w:rsidRPr="00D84BC6">
        <w:rPr>
          <w:rFonts w:ascii="inherit" w:eastAsia="Times New Roman" w:hAnsi="inherit" w:cs="Open Sans"/>
          <w:b/>
          <w:bCs/>
          <w:color w:val="003299"/>
          <w:kern w:val="0"/>
          <w:sz w:val="42"/>
          <w:szCs w:val="42"/>
          <w:lang w:eastAsia="de-AT"/>
          <w14:ligatures w14:val="none"/>
        </w:rPr>
        <w:t>Lecture</w:t>
      </w:r>
      <w:proofErr w:type="spellEnd"/>
    </w:p>
    <w:p w14:paraId="7D118F55" w14:textId="77777777" w:rsidR="00D84BC6" w:rsidRPr="00D84BC6" w:rsidRDefault="00D84BC6" w:rsidP="00D84BC6">
      <w:pPr>
        <w:spacing w:after="450" w:line="240" w:lineRule="auto"/>
        <w:textAlignment w:val="baseline"/>
        <w:rPr>
          <w:rFonts w:ascii="Open Sans" w:eastAsia="Times New Roman" w:hAnsi="Open Sans" w:cs="Open Sans"/>
          <w:i/>
          <w:iCs/>
          <w:color w:val="555555"/>
          <w:kern w:val="0"/>
          <w:sz w:val="30"/>
          <w:szCs w:val="30"/>
          <w:lang w:eastAsia="de-AT"/>
          <w14:ligatures w14:val="none"/>
        </w:rPr>
      </w:pPr>
      <w:r w:rsidRPr="00D84BC6">
        <w:rPr>
          <w:rFonts w:ascii="Open Sans" w:eastAsia="Times New Roman" w:hAnsi="Open Sans" w:cs="Open Sans"/>
          <w:i/>
          <w:iCs/>
          <w:color w:val="555555"/>
          <w:kern w:val="0"/>
          <w:sz w:val="30"/>
          <w:szCs w:val="30"/>
          <w:lang w:eastAsia="de-AT"/>
          <w14:ligatures w14:val="none"/>
        </w:rPr>
        <w:t>St. Louis, 2. November 2023</w:t>
      </w:r>
    </w:p>
    <w:p w14:paraId="25B4A18C" w14:textId="77777777" w:rsidR="00D84BC6" w:rsidRPr="00D84BC6" w:rsidRDefault="00D84BC6" w:rsidP="00D84BC6">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D84BC6">
        <w:rPr>
          <w:rFonts w:ascii="Open Sans" w:eastAsia="Times New Roman" w:hAnsi="Open Sans" w:cs="Open Sans"/>
          <w:color w:val="555555"/>
          <w:kern w:val="0"/>
          <w:sz w:val="30"/>
          <w:szCs w:val="30"/>
          <w:lang w:eastAsia="de-AT"/>
          <w14:ligatures w14:val="none"/>
        </w:rPr>
        <w:lastRenderedPageBreak/>
        <w:t>Beim Langstreckenlauf wird oft gesagt, dass die letzte Meile die schwierigste sei. Da die Ziellinie in greifbarer Nähe ist, muss man sich noch mehr anstrengen, um das lang gehegte Ziel zu erreichen.</w:t>
      </w:r>
    </w:p>
    <w:p w14:paraId="1DA64078" w14:textId="77777777" w:rsidR="00D84BC6" w:rsidRPr="00D84BC6" w:rsidRDefault="00D84BC6" w:rsidP="00D84BC6">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D84BC6">
        <w:rPr>
          <w:rFonts w:ascii="Open Sans" w:eastAsia="Times New Roman" w:hAnsi="Open Sans" w:cs="Open Sans"/>
          <w:color w:val="555555"/>
          <w:kern w:val="0"/>
          <w:sz w:val="30"/>
          <w:szCs w:val="30"/>
          <w:lang w:eastAsia="de-AT"/>
          <w14:ligatures w14:val="none"/>
        </w:rPr>
        <w:t>Das Gleiche gilt für die Bewältigung der letzten Meile der Desinflation.</w:t>
      </w:r>
    </w:p>
    <w:p w14:paraId="0E03EF73" w14:textId="77777777" w:rsidR="00D84BC6" w:rsidRPr="00D84BC6" w:rsidRDefault="00D84BC6" w:rsidP="00D84BC6">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D84BC6">
        <w:rPr>
          <w:rFonts w:ascii="Open Sans" w:eastAsia="Times New Roman" w:hAnsi="Open Sans" w:cs="Open Sans"/>
          <w:color w:val="555555"/>
          <w:kern w:val="0"/>
          <w:sz w:val="30"/>
          <w:szCs w:val="30"/>
          <w:lang w:eastAsia="de-AT"/>
          <w14:ligatures w14:val="none"/>
        </w:rPr>
        <w:t>In den letzten zwölf Monaten haben wir die erste Phase der Desinflation erlebt. Die Gesamtinflation ging schnell und messbar zurück, da sich frühere angebotsseitige Schocks umkehrten. Störungen in den globalen Lieferketten wurden nach und nach behoben, und die Energie- und Lebensmittelpreise erreichten ihren Höchststand nach der russischen Invasion in der Ukraine. Dies waren die schnellen Erfolge des Desinflationsprozesses.</w:t>
      </w:r>
    </w:p>
    <w:p w14:paraId="4805B690" w14:textId="77777777" w:rsidR="00D84BC6" w:rsidRPr="00D84BC6" w:rsidRDefault="00D84BC6" w:rsidP="00D84BC6">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D84BC6">
        <w:rPr>
          <w:rFonts w:ascii="Open Sans" w:eastAsia="Times New Roman" w:hAnsi="Open Sans" w:cs="Open Sans"/>
          <w:color w:val="555555"/>
          <w:kern w:val="0"/>
          <w:sz w:val="30"/>
          <w:szCs w:val="30"/>
          <w:lang w:eastAsia="de-AT"/>
          <w14:ligatures w14:val="none"/>
        </w:rPr>
        <w:t>In meinen heutigen Ausführungen möchte ich erörtern, warum es möglicherweise schwieriger ist, die Inflation von hier aus rechtzeitig wieder auf 2 % zu bringen. Ich werde argumentieren, dass die Desinflation auf der letzten Meile, anders als in der ersten Phase, entscheidend von der angemessenen Kalibrierung und wirksamen Transmission der Geldpolitik abhängt. Die große Unsicherheit in Bezug auf diese beiden Faktoren sowie das Risiko, dass neue angebotsseitige Schocks die Inflation erneut von unserem Ziel abbringen, machen diesen Teil des Inflationsprozesses am schwierigsten.</w:t>
      </w:r>
    </w:p>
    <w:p w14:paraId="1E399D76" w14:textId="77777777" w:rsidR="00D84BC6" w:rsidRPr="00D84BC6" w:rsidRDefault="00D84BC6" w:rsidP="00D84BC6">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D84BC6">
        <w:rPr>
          <w:rFonts w:ascii="Open Sans" w:eastAsia="Times New Roman" w:hAnsi="Open Sans" w:cs="Open Sans"/>
          <w:color w:val="555555"/>
          <w:kern w:val="0"/>
          <w:sz w:val="30"/>
          <w:szCs w:val="30"/>
          <w:lang w:eastAsia="de-AT"/>
          <w14:ligatures w14:val="none"/>
        </w:rPr>
        <w:t>Auf diese Herausforderungen muss die Geldpolitik mit Beharrlichkeit und Wachsamkeit reagieren.</w:t>
      </w:r>
    </w:p>
    <w:p w14:paraId="235A87F8" w14:textId="77777777" w:rsidR="00D84BC6" w:rsidRPr="00D84BC6" w:rsidRDefault="00D84BC6" w:rsidP="00D84BC6">
      <w:pPr>
        <w:spacing w:before="750" w:after="300" w:line="582" w:lineRule="atLeast"/>
        <w:textAlignment w:val="baseline"/>
        <w:outlineLvl w:val="1"/>
        <w:rPr>
          <w:rFonts w:ascii="inherit" w:eastAsia="Times New Roman" w:hAnsi="inherit" w:cs="Open Sans"/>
          <w:b/>
          <w:bCs/>
          <w:color w:val="003299"/>
          <w:kern w:val="0"/>
          <w:sz w:val="42"/>
          <w:szCs w:val="42"/>
          <w:lang w:eastAsia="de-AT"/>
          <w14:ligatures w14:val="none"/>
        </w:rPr>
      </w:pPr>
      <w:r w:rsidRPr="00D84BC6">
        <w:rPr>
          <w:rFonts w:ascii="inherit" w:eastAsia="Times New Roman" w:hAnsi="inherit" w:cs="Open Sans"/>
          <w:b/>
          <w:bCs/>
          <w:color w:val="003299"/>
          <w:kern w:val="0"/>
          <w:sz w:val="42"/>
          <w:szCs w:val="42"/>
          <w:lang w:eastAsia="de-AT"/>
          <w14:ligatures w14:val="none"/>
        </w:rPr>
        <w:lastRenderedPageBreak/>
        <w:t>Die letzte Meile markiert eine Wende im Desinflationsprozess</w:t>
      </w:r>
    </w:p>
    <w:p w14:paraId="631EEF3C" w14:textId="77777777" w:rsidR="00D84BC6" w:rsidRPr="00D84BC6" w:rsidRDefault="00D84BC6" w:rsidP="00D84BC6">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D84BC6">
        <w:rPr>
          <w:rFonts w:ascii="Open Sans" w:eastAsia="Times New Roman" w:hAnsi="Open Sans" w:cs="Open Sans"/>
          <w:color w:val="555555"/>
          <w:kern w:val="0"/>
          <w:sz w:val="30"/>
          <w:szCs w:val="30"/>
          <w:lang w:eastAsia="de-AT"/>
          <w14:ligatures w14:val="none"/>
        </w:rPr>
        <w:t>Die Gesamtinflation im Euroraum ging im Oktober rasch auf 2,9 % zurück, nachdem sie ein Jahr zuvor ihren Höchststand von 10,6 % erreicht hatte. Der Großteil dieses starken Rückgangs spiegelt den erheblichen Rückgang der Beiträge der Energie- und Nahrungsmittelinflation wider (Folie 2, linke Seite).</w:t>
      </w:r>
    </w:p>
    <w:p w14:paraId="34CCCF34" w14:textId="77777777" w:rsidR="00D84BC6" w:rsidRPr="00D84BC6" w:rsidRDefault="00D84BC6" w:rsidP="00D84BC6">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D84BC6">
        <w:rPr>
          <w:rFonts w:ascii="Open Sans" w:eastAsia="Times New Roman" w:hAnsi="Open Sans" w:cs="Open Sans"/>
          <w:color w:val="555555"/>
          <w:kern w:val="0"/>
          <w:sz w:val="30"/>
          <w:szCs w:val="30"/>
          <w:lang w:eastAsia="de-AT"/>
          <w14:ligatures w14:val="none"/>
        </w:rPr>
        <w:t>Diese Auswirkungen waren weitgehend auch in ihrem Ausmaß zu erwarten. Sie ergeben sich aus der statistischen Beobachtung, dass sich die Inflation nach einem großen Preisschock in der Regel messbar verlangsamt, sobald die ungewöhnlich hohen monatlichen Preissteigerungen des Vorjahres aus den jährlichen Inflationsraten auszufallen beginnen.</w:t>
      </w:r>
    </w:p>
    <w:p w14:paraId="3035C1C7" w14:textId="77777777" w:rsidR="00D84BC6" w:rsidRPr="00D84BC6" w:rsidRDefault="00D84BC6" w:rsidP="00D84BC6">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D84BC6">
        <w:rPr>
          <w:rFonts w:ascii="Open Sans" w:eastAsia="Times New Roman" w:hAnsi="Open Sans" w:cs="Open Sans"/>
          <w:color w:val="555555"/>
          <w:kern w:val="0"/>
          <w:sz w:val="30"/>
          <w:szCs w:val="30"/>
          <w:lang w:eastAsia="de-AT"/>
          <w14:ligatures w14:val="none"/>
        </w:rPr>
        <w:t>Diese mechanische Dynamik wird als Basiseffekt bezeichnet. Insbesondere die Öl- und Gaspreise sind seit den Höchstständen unmittelbar nach der russischen Invasion in der Ukraine bemerkenswert schnell gesunken (Folie 2, rechte Seite). Heute liegen die Öl- und Gaspreise nahe oder unter dem Niveau vor der Invasion.</w:t>
      </w:r>
    </w:p>
    <w:p w14:paraId="1957B880" w14:textId="77777777" w:rsidR="00D84BC6" w:rsidRPr="00D84BC6" w:rsidRDefault="00D84BC6" w:rsidP="00D84BC6">
      <w:pPr>
        <w:spacing w:after="0" w:line="240" w:lineRule="auto"/>
        <w:textAlignment w:val="baseline"/>
        <w:rPr>
          <w:rFonts w:ascii="Open Sans" w:eastAsia="Times New Roman" w:hAnsi="Open Sans" w:cs="Open Sans"/>
          <w:color w:val="555555"/>
          <w:kern w:val="0"/>
          <w:sz w:val="30"/>
          <w:szCs w:val="30"/>
          <w:lang w:eastAsia="de-AT"/>
          <w14:ligatures w14:val="none"/>
        </w:rPr>
      </w:pPr>
      <w:r w:rsidRPr="00D84BC6">
        <w:rPr>
          <w:rFonts w:ascii="Open Sans" w:eastAsia="Times New Roman" w:hAnsi="Open Sans" w:cs="Open Sans"/>
          <w:color w:val="555555"/>
          <w:kern w:val="0"/>
          <w:sz w:val="30"/>
          <w:szCs w:val="30"/>
          <w:lang w:eastAsia="de-AT"/>
          <w14:ligatures w14:val="none"/>
        </w:rPr>
        <w:t>Solche regelrechten Preisrückgänge sind selten. Sie beschränken sich in der Regel auf stark schwankende Preise von Waren, die auf internationalen Märkten gehandelt werden und bei denen die Durchwirkung auf die Endverbraucherpreise typischerweise groß ist und in vielen Fällen unmittelbar bevorsteht und direkt über die Energiekomponente des Harmonisierten Verbraucherpreisindex erfolgt (HVPI).</w:t>
      </w:r>
      <w:r w:rsidRPr="00D84BC6">
        <w:rPr>
          <w:rFonts w:ascii="Open Sans" w:eastAsia="Times New Roman" w:hAnsi="Open Sans" w:cs="Open Sans"/>
          <w:color w:val="555555"/>
          <w:kern w:val="0"/>
          <w:sz w:val="21"/>
          <w:szCs w:val="21"/>
          <w:bdr w:val="none" w:sz="0" w:space="0" w:color="auto" w:frame="1"/>
          <w:vertAlign w:val="superscript"/>
          <w:lang w:eastAsia="de-AT"/>
          <w14:ligatures w14:val="none"/>
        </w:rPr>
        <w:t>[</w:t>
      </w:r>
      <w:hyperlink r:id="rId38" w:anchor="footnote.1" w:history="1">
        <w:r w:rsidRPr="00D84BC6">
          <w:rPr>
            <w:rFonts w:ascii="Open Sans" w:eastAsia="Times New Roman" w:hAnsi="Open Sans" w:cs="Open Sans"/>
            <w:color w:val="2B7AB6"/>
            <w:kern w:val="0"/>
            <w:sz w:val="21"/>
            <w:szCs w:val="21"/>
            <w:bdr w:val="none" w:sz="0" w:space="0" w:color="auto" w:frame="1"/>
            <w:lang w:eastAsia="de-AT"/>
            <w14:ligatures w14:val="none"/>
          </w:rPr>
          <w:t>1</w:t>
        </w:r>
      </w:hyperlink>
      <w:r w:rsidRPr="00D84BC6">
        <w:rPr>
          <w:rFonts w:ascii="Open Sans" w:eastAsia="Times New Roman" w:hAnsi="Open Sans" w:cs="Open Sans"/>
          <w:color w:val="555555"/>
          <w:kern w:val="0"/>
          <w:sz w:val="21"/>
          <w:szCs w:val="21"/>
          <w:bdr w:val="none" w:sz="0" w:space="0" w:color="auto" w:frame="1"/>
          <w:vertAlign w:val="superscript"/>
          <w:lang w:eastAsia="de-AT"/>
          <w14:ligatures w14:val="none"/>
        </w:rPr>
        <w:t>]</w:t>
      </w:r>
    </w:p>
    <w:p w14:paraId="554DCBBC" w14:textId="77777777" w:rsidR="00D84BC6" w:rsidRPr="00D84BC6" w:rsidRDefault="00D84BC6" w:rsidP="00D84BC6">
      <w:pPr>
        <w:spacing w:after="0" w:line="240" w:lineRule="auto"/>
        <w:textAlignment w:val="baseline"/>
        <w:rPr>
          <w:rFonts w:ascii="Open Sans" w:eastAsia="Times New Roman" w:hAnsi="Open Sans" w:cs="Open Sans"/>
          <w:color w:val="555555"/>
          <w:kern w:val="0"/>
          <w:sz w:val="30"/>
          <w:szCs w:val="30"/>
          <w:lang w:eastAsia="de-AT"/>
          <w14:ligatures w14:val="none"/>
        </w:rPr>
      </w:pPr>
      <w:r w:rsidRPr="00D84BC6">
        <w:rPr>
          <w:rFonts w:ascii="Open Sans" w:eastAsia="Times New Roman" w:hAnsi="Open Sans" w:cs="Open Sans"/>
          <w:color w:val="555555"/>
          <w:kern w:val="0"/>
          <w:sz w:val="30"/>
          <w:szCs w:val="30"/>
          <w:lang w:eastAsia="de-AT"/>
          <w14:ligatures w14:val="none"/>
        </w:rPr>
        <w:t xml:space="preserve">Nach großen Rohstoffschocks ist ein zunächst rascher Rückgang der Gesamtinflation daher eher die Regel als die </w:t>
      </w:r>
      <w:r w:rsidRPr="00D84BC6">
        <w:rPr>
          <w:rFonts w:ascii="Open Sans" w:eastAsia="Times New Roman" w:hAnsi="Open Sans" w:cs="Open Sans"/>
          <w:color w:val="555555"/>
          <w:kern w:val="0"/>
          <w:sz w:val="30"/>
          <w:szCs w:val="30"/>
          <w:lang w:eastAsia="de-AT"/>
          <w14:ligatures w14:val="none"/>
        </w:rPr>
        <w:lastRenderedPageBreak/>
        <w:t xml:space="preserve">Ausnahme. Dies war auch nach der globalen Finanzkrise 2008 und den Finanzmarktturbulenzen 2012 der </w:t>
      </w:r>
      <w:proofErr w:type="gramStart"/>
      <w:r w:rsidRPr="00D84BC6">
        <w:rPr>
          <w:rFonts w:ascii="Open Sans" w:eastAsia="Times New Roman" w:hAnsi="Open Sans" w:cs="Open Sans"/>
          <w:color w:val="555555"/>
          <w:kern w:val="0"/>
          <w:sz w:val="30"/>
          <w:szCs w:val="30"/>
          <w:lang w:eastAsia="de-AT"/>
          <w14:ligatures w14:val="none"/>
        </w:rPr>
        <w:t>Fall.</w:t>
      </w:r>
      <w:r w:rsidRPr="00D84BC6">
        <w:rPr>
          <w:rFonts w:ascii="Open Sans" w:eastAsia="Times New Roman" w:hAnsi="Open Sans" w:cs="Open Sans"/>
          <w:color w:val="555555"/>
          <w:kern w:val="0"/>
          <w:sz w:val="21"/>
          <w:szCs w:val="21"/>
          <w:bdr w:val="none" w:sz="0" w:space="0" w:color="auto" w:frame="1"/>
          <w:vertAlign w:val="superscript"/>
          <w:lang w:eastAsia="de-AT"/>
          <w14:ligatures w14:val="none"/>
        </w:rPr>
        <w:t>[</w:t>
      </w:r>
      <w:proofErr w:type="gramEnd"/>
      <w:r w:rsidRPr="00D84BC6">
        <w:rPr>
          <w:rFonts w:ascii="Open Sans" w:eastAsia="Times New Roman" w:hAnsi="Open Sans" w:cs="Open Sans"/>
          <w:color w:val="555555"/>
          <w:kern w:val="0"/>
          <w:sz w:val="21"/>
          <w:szCs w:val="21"/>
          <w:bdr w:val="none" w:sz="0" w:space="0" w:color="auto" w:frame="1"/>
          <w:vertAlign w:val="superscript"/>
          <w:lang w:eastAsia="de-AT"/>
          <w14:ligatures w14:val="none"/>
        </w:rPr>
        <w:fldChar w:fldCharType="begin"/>
      </w:r>
      <w:r w:rsidRPr="00D84BC6">
        <w:rPr>
          <w:rFonts w:ascii="Open Sans" w:eastAsia="Times New Roman" w:hAnsi="Open Sans" w:cs="Open Sans"/>
          <w:color w:val="555555"/>
          <w:kern w:val="0"/>
          <w:sz w:val="21"/>
          <w:szCs w:val="21"/>
          <w:bdr w:val="none" w:sz="0" w:space="0" w:color="auto" w:frame="1"/>
          <w:vertAlign w:val="superscript"/>
          <w:lang w:eastAsia="de-AT"/>
          <w14:ligatures w14:val="none"/>
        </w:rPr>
        <w:instrText>HYPERLINK "https://www.ecb.europa.eu/press/key/date/2023/html/ecb.sp231102_1~4bb07ebef7.en.html" \l "footnote.2"</w:instrText>
      </w:r>
      <w:r w:rsidRPr="00D84BC6">
        <w:rPr>
          <w:rFonts w:ascii="Open Sans" w:eastAsia="Times New Roman" w:hAnsi="Open Sans" w:cs="Open Sans"/>
          <w:color w:val="555555"/>
          <w:kern w:val="0"/>
          <w:sz w:val="21"/>
          <w:szCs w:val="21"/>
          <w:bdr w:val="none" w:sz="0" w:space="0" w:color="auto" w:frame="1"/>
          <w:vertAlign w:val="superscript"/>
          <w:lang w:eastAsia="de-AT"/>
          <w14:ligatures w14:val="none"/>
        </w:rPr>
      </w:r>
      <w:r w:rsidRPr="00D84BC6">
        <w:rPr>
          <w:rFonts w:ascii="Open Sans" w:eastAsia="Times New Roman" w:hAnsi="Open Sans" w:cs="Open Sans"/>
          <w:color w:val="555555"/>
          <w:kern w:val="0"/>
          <w:sz w:val="21"/>
          <w:szCs w:val="21"/>
          <w:bdr w:val="none" w:sz="0" w:space="0" w:color="auto" w:frame="1"/>
          <w:vertAlign w:val="superscript"/>
          <w:lang w:eastAsia="de-AT"/>
          <w14:ligatures w14:val="none"/>
        </w:rPr>
        <w:fldChar w:fldCharType="separate"/>
      </w:r>
      <w:r w:rsidRPr="00D84BC6">
        <w:rPr>
          <w:rFonts w:ascii="Open Sans" w:eastAsia="Times New Roman" w:hAnsi="Open Sans" w:cs="Open Sans"/>
          <w:color w:val="2B7AB6"/>
          <w:kern w:val="0"/>
          <w:sz w:val="21"/>
          <w:szCs w:val="21"/>
          <w:bdr w:val="none" w:sz="0" w:space="0" w:color="auto" w:frame="1"/>
          <w:lang w:eastAsia="de-AT"/>
          <w14:ligatures w14:val="none"/>
        </w:rPr>
        <w:t>2</w:t>
      </w:r>
      <w:r w:rsidRPr="00D84BC6">
        <w:rPr>
          <w:rFonts w:ascii="Open Sans" w:eastAsia="Times New Roman" w:hAnsi="Open Sans" w:cs="Open Sans"/>
          <w:color w:val="555555"/>
          <w:kern w:val="0"/>
          <w:sz w:val="21"/>
          <w:szCs w:val="21"/>
          <w:bdr w:val="none" w:sz="0" w:space="0" w:color="auto" w:frame="1"/>
          <w:vertAlign w:val="superscript"/>
          <w:lang w:eastAsia="de-AT"/>
          <w14:ligatures w14:val="none"/>
        </w:rPr>
        <w:fldChar w:fldCharType="end"/>
      </w:r>
      <w:r w:rsidRPr="00D84BC6">
        <w:rPr>
          <w:rFonts w:ascii="Open Sans" w:eastAsia="Times New Roman" w:hAnsi="Open Sans" w:cs="Open Sans"/>
          <w:color w:val="555555"/>
          <w:kern w:val="0"/>
          <w:sz w:val="21"/>
          <w:szCs w:val="21"/>
          <w:bdr w:val="none" w:sz="0" w:space="0" w:color="auto" w:frame="1"/>
          <w:vertAlign w:val="superscript"/>
          <w:lang w:eastAsia="de-AT"/>
          <w14:ligatures w14:val="none"/>
        </w:rPr>
        <w:t>]</w:t>
      </w:r>
    </w:p>
    <w:p w14:paraId="248DBED8" w14:textId="77777777" w:rsidR="00D84BC6" w:rsidRPr="00D84BC6" w:rsidRDefault="00D84BC6" w:rsidP="00D84BC6">
      <w:pPr>
        <w:spacing w:after="0" w:line="240" w:lineRule="auto"/>
        <w:textAlignment w:val="baseline"/>
        <w:rPr>
          <w:rFonts w:ascii="Open Sans" w:eastAsia="Times New Roman" w:hAnsi="Open Sans" w:cs="Open Sans"/>
          <w:color w:val="555555"/>
          <w:kern w:val="0"/>
          <w:sz w:val="30"/>
          <w:szCs w:val="30"/>
          <w:lang w:eastAsia="de-AT"/>
          <w14:ligatures w14:val="none"/>
        </w:rPr>
      </w:pPr>
      <w:r w:rsidRPr="00D84BC6">
        <w:rPr>
          <w:rFonts w:ascii="Open Sans" w:eastAsia="Times New Roman" w:hAnsi="Open Sans" w:cs="Open Sans"/>
          <w:color w:val="555555"/>
          <w:kern w:val="0"/>
          <w:sz w:val="30"/>
          <w:szCs w:val="30"/>
          <w:lang w:eastAsia="de-AT"/>
          <w14:ligatures w14:val="none"/>
        </w:rPr>
        <w:t>Eine aktuelle IWF-Studie zeigt, dass solche starken anfänglichen Basiseffekte oft zu „vorzeitigen Feierlichkeiten“ geführt haben.</w:t>
      </w:r>
      <w:r w:rsidRPr="00D84BC6">
        <w:rPr>
          <w:rFonts w:ascii="Open Sans" w:eastAsia="Times New Roman" w:hAnsi="Open Sans" w:cs="Open Sans"/>
          <w:color w:val="555555"/>
          <w:kern w:val="0"/>
          <w:sz w:val="21"/>
          <w:szCs w:val="21"/>
          <w:bdr w:val="none" w:sz="0" w:space="0" w:color="auto" w:frame="1"/>
          <w:vertAlign w:val="superscript"/>
          <w:lang w:eastAsia="de-AT"/>
          <w14:ligatures w14:val="none"/>
        </w:rPr>
        <w:t>[</w:t>
      </w:r>
      <w:hyperlink r:id="rId39" w:anchor="footnote.3" w:history="1">
        <w:r w:rsidRPr="00D84BC6">
          <w:rPr>
            <w:rFonts w:ascii="Open Sans" w:eastAsia="Times New Roman" w:hAnsi="Open Sans" w:cs="Open Sans"/>
            <w:color w:val="2B7AB6"/>
            <w:kern w:val="0"/>
            <w:sz w:val="21"/>
            <w:szCs w:val="21"/>
            <w:bdr w:val="none" w:sz="0" w:space="0" w:color="auto" w:frame="1"/>
            <w:lang w:eastAsia="de-AT"/>
            <w14:ligatures w14:val="none"/>
          </w:rPr>
          <w:t>3</w:t>
        </w:r>
      </w:hyperlink>
      <w:r w:rsidRPr="00D84BC6">
        <w:rPr>
          <w:rFonts w:ascii="Open Sans" w:eastAsia="Times New Roman" w:hAnsi="Open Sans" w:cs="Open Sans"/>
          <w:color w:val="555555"/>
          <w:kern w:val="0"/>
          <w:sz w:val="21"/>
          <w:szCs w:val="21"/>
          <w:bdr w:val="none" w:sz="0" w:space="0" w:color="auto" w:frame="1"/>
          <w:vertAlign w:val="superscript"/>
          <w:lang w:eastAsia="de-AT"/>
          <w14:ligatures w14:val="none"/>
        </w:rPr>
        <w:t>]</w:t>
      </w:r>
      <w:r w:rsidRPr="00D84BC6">
        <w:rPr>
          <w:rFonts w:ascii="Open Sans" w:eastAsia="Times New Roman" w:hAnsi="Open Sans" w:cs="Open Sans"/>
          <w:color w:val="555555"/>
          <w:kern w:val="0"/>
          <w:sz w:val="30"/>
          <w:szCs w:val="30"/>
          <w:lang w:eastAsia="de-AT"/>
          <w14:ligatures w14:val="none"/>
        </w:rPr>
        <w:t>Das heißt, wenn die Inflation zu sinken beginnt, ist es verlockend, den Schluss zu ziehen, dass sie erfolgreich bekämpft wurde und dass es nur darauf ankommt, wann und nicht ob die Inflation wieder auf den Zielwert zurückfällt.</w:t>
      </w:r>
    </w:p>
    <w:p w14:paraId="6CDF2C3F" w14:textId="77777777" w:rsidR="00D84BC6" w:rsidRPr="00D84BC6" w:rsidRDefault="00D84BC6" w:rsidP="00D84BC6">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D84BC6">
        <w:rPr>
          <w:rFonts w:ascii="Open Sans" w:eastAsia="Times New Roman" w:hAnsi="Open Sans" w:cs="Open Sans"/>
          <w:color w:val="555555"/>
          <w:kern w:val="0"/>
          <w:sz w:val="30"/>
          <w:szCs w:val="30"/>
          <w:lang w:eastAsia="de-AT"/>
          <w14:ligatures w14:val="none"/>
        </w:rPr>
        <w:t>Allerdings ging die Inflation in etwa 90 % der ungelösten Inflationsepisoden innerhalb der ersten drei Jahre nach dem ersten Schock deutlich zurück, verharrte dann aber entweder auf einem erhöhten Niveau oder beschleunigte sich wieder.</w:t>
      </w:r>
    </w:p>
    <w:p w14:paraId="48B16D8A" w14:textId="77777777" w:rsidR="00D84BC6" w:rsidRPr="00D84BC6" w:rsidRDefault="00D84BC6" w:rsidP="00D84BC6">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D84BC6">
        <w:rPr>
          <w:rFonts w:ascii="Open Sans" w:eastAsia="Times New Roman" w:hAnsi="Open Sans" w:cs="Open Sans"/>
          <w:color w:val="555555"/>
          <w:kern w:val="0"/>
          <w:sz w:val="30"/>
          <w:szCs w:val="30"/>
          <w:lang w:eastAsia="de-AT"/>
          <w14:ligatures w14:val="none"/>
        </w:rPr>
        <w:t>Basiseffekte selbst können ein Grund sein, warum dies passieren kann. Per Definition haben sie einen endlichen Horizont. Da sie in beide Richtungen wirken, verwandeln sie sich oft von einer Quelle der Desinflation in einen erneuten Gegenwind. Sie schwingen wie ein Pendel, was bedeutet, dass die Desinflation nicht unbedingt ein reibungsloser Prozess ist, sondern ein ziemlich holpriger Weg sein kann.</w:t>
      </w:r>
    </w:p>
    <w:p w14:paraId="59C41C53" w14:textId="77777777" w:rsidR="00D84BC6" w:rsidRPr="00D84BC6" w:rsidRDefault="00D84BC6" w:rsidP="00D84BC6">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D84BC6">
        <w:rPr>
          <w:rFonts w:ascii="Open Sans" w:eastAsia="Times New Roman" w:hAnsi="Open Sans" w:cs="Open Sans"/>
          <w:color w:val="555555"/>
          <w:kern w:val="0"/>
          <w:sz w:val="30"/>
          <w:szCs w:val="30"/>
          <w:lang w:eastAsia="de-AT"/>
          <w14:ligatures w14:val="none"/>
        </w:rPr>
        <w:t xml:space="preserve">Das gilt auch heute </w:t>
      </w:r>
      <w:proofErr w:type="spellStart"/>
      <w:proofErr w:type="gramStart"/>
      <w:r w:rsidRPr="00D84BC6">
        <w:rPr>
          <w:rFonts w:ascii="Open Sans" w:eastAsia="Times New Roman" w:hAnsi="Open Sans" w:cs="Open Sans"/>
          <w:color w:val="555555"/>
          <w:kern w:val="0"/>
          <w:sz w:val="30"/>
          <w:szCs w:val="30"/>
          <w:lang w:eastAsia="de-AT"/>
          <w14:ligatures w14:val="none"/>
        </w:rPr>
        <w:t>noch.Unsere</w:t>
      </w:r>
      <w:proofErr w:type="spellEnd"/>
      <w:proofErr w:type="gramEnd"/>
      <w:r w:rsidRPr="00D84BC6">
        <w:rPr>
          <w:rFonts w:ascii="Open Sans" w:eastAsia="Times New Roman" w:hAnsi="Open Sans" w:cs="Open Sans"/>
          <w:color w:val="555555"/>
          <w:kern w:val="0"/>
          <w:sz w:val="30"/>
          <w:szCs w:val="30"/>
          <w:lang w:eastAsia="de-AT"/>
          <w14:ligatures w14:val="none"/>
        </w:rPr>
        <w:t xml:space="preserve"> Schätzungen deuten darauf hin, dass, sollten die Energiepreise in den kommenden Monaten im Einklang mit ihrem historischen Mittel steigen, Energie bis Juli 2024 voraussichtlich fast 1,9 Prozentpunkte zur Gesamtinflation im Euroraum beitragen wird (Folie 3, linke Seite). Dies spiegelt vor allem den seit November 2022 zu beobachtenden starken Rückgang der Öl- und Gaspreise wider. Ein Anstieg der Energiepreise über das historische Mittel hinaus würde solche Basiseffekte noch verstärken.</w:t>
      </w:r>
    </w:p>
    <w:p w14:paraId="537F8A25" w14:textId="77777777" w:rsidR="00D84BC6" w:rsidRPr="00D84BC6" w:rsidRDefault="00D84BC6" w:rsidP="00D84BC6">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D84BC6">
        <w:rPr>
          <w:rFonts w:ascii="Open Sans" w:eastAsia="Times New Roman" w:hAnsi="Open Sans" w:cs="Open Sans"/>
          <w:color w:val="555555"/>
          <w:kern w:val="0"/>
          <w:sz w:val="30"/>
          <w:szCs w:val="30"/>
          <w:lang w:eastAsia="de-AT"/>
          <w14:ligatures w14:val="none"/>
        </w:rPr>
        <w:t xml:space="preserve">Der außerordentlich starke Anstieg der Lebensmittelpreise im Jahr 2022 und Anfang 2023 deutet darauf hin, dass es </w:t>
      </w:r>
      <w:r w:rsidRPr="00D84BC6">
        <w:rPr>
          <w:rFonts w:ascii="Open Sans" w:eastAsia="Times New Roman" w:hAnsi="Open Sans" w:cs="Open Sans"/>
          <w:color w:val="555555"/>
          <w:kern w:val="0"/>
          <w:sz w:val="30"/>
          <w:szCs w:val="30"/>
          <w:lang w:eastAsia="de-AT"/>
          <w14:ligatures w14:val="none"/>
        </w:rPr>
        <w:lastRenderedPageBreak/>
        <w:t>irgendwann zu einer ähnlichen Dynamik der Gesamtinflation bei der Lebensmittelkomponente des HVPI kommen könnte (Folie 3, rechte Seite).</w:t>
      </w:r>
    </w:p>
    <w:p w14:paraId="5EE3A028" w14:textId="77777777" w:rsidR="00D84BC6" w:rsidRPr="00D84BC6" w:rsidRDefault="00D84BC6" w:rsidP="00D84BC6">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D84BC6">
        <w:rPr>
          <w:rFonts w:ascii="Open Sans" w:eastAsia="Times New Roman" w:hAnsi="Open Sans" w:cs="Open Sans"/>
          <w:color w:val="555555"/>
          <w:kern w:val="0"/>
          <w:sz w:val="30"/>
          <w:szCs w:val="30"/>
          <w:lang w:eastAsia="de-AT"/>
          <w14:ligatures w14:val="none"/>
        </w:rPr>
        <w:t>Der andere Grund für die anhaltende Inflation besteht darin, dass sich der zugrunde liegende Preisdruck als viel hartnäckiger erweisen kann als volatile Rohstoffpreise.</w:t>
      </w:r>
    </w:p>
    <w:p w14:paraId="5D83FBE4" w14:textId="77777777" w:rsidR="00D84BC6" w:rsidRPr="00D84BC6" w:rsidRDefault="00D84BC6" w:rsidP="00D84BC6">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D84BC6">
        <w:rPr>
          <w:rFonts w:ascii="Open Sans" w:eastAsia="Times New Roman" w:hAnsi="Open Sans" w:cs="Open Sans"/>
          <w:color w:val="555555"/>
          <w:kern w:val="0"/>
          <w:sz w:val="30"/>
          <w:szCs w:val="30"/>
          <w:lang w:eastAsia="de-AT"/>
          <w14:ligatures w14:val="none"/>
        </w:rPr>
        <w:t>Der Energiepreisschock des letzten Jahres entwickelte sich schnell zu einem breit angelegten Preisniveauschock, da die Unternehmen den Großteil ihrer Kostensteigerungen an die Endverbraucherpreise weitergaben. Infolgedessen stieg die Kerninflation, die die direkten Auswirkungen von Energie und Nahrungsmitteln ausschließt, im Euroraum stark an und erreichte ihren Höchststand von 5,8 % im März 2023, deutlich später als die Gesamtinflation. Im Oktober lag sie noch bei 4,2 %.</w:t>
      </w:r>
    </w:p>
    <w:p w14:paraId="2B63401B" w14:textId="77777777" w:rsidR="00D84BC6" w:rsidRPr="00D84BC6" w:rsidRDefault="00D84BC6" w:rsidP="00D84BC6">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D84BC6">
        <w:rPr>
          <w:rFonts w:ascii="Open Sans" w:eastAsia="Times New Roman" w:hAnsi="Open Sans" w:cs="Open Sans"/>
          <w:color w:val="555555"/>
          <w:kern w:val="0"/>
          <w:sz w:val="30"/>
          <w:szCs w:val="30"/>
          <w:lang w:eastAsia="de-AT"/>
          <w14:ligatures w14:val="none"/>
        </w:rPr>
        <w:t>Die Umkehr der Basiseffekte impliziert, dass eine weitere Desinflation auf einem stetigen Rückgang der zugrunde liegenden Inflation beruhen muss. Bei der letzten Meile geht es um diese Änderung im Desinflationsprozess. Dabei geht es nicht mehr um mechanische Preisumkehrungen, sondern darum, die Voraussetzungen dafür zu schaffen, dass sich die indirekten Zweitrundeneffekte angebotsseitiger Schocks nicht in der zugrunde liegenden Inflation festsetzen. Dies ist die Aufgabe der Geldpolitik.</w:t>
      </w:r>
    </w:p>
    <w:p w14:paraId="199F2354" w14:textId="77777777" w:rsidR="00D84BC6" w:rsidRPr="00D84BC6" w:rsidRDefault="00D84BC6" w:rsidP="00D84BC6">
      <w:pPr>
        <w:spacing w:before="750" w:after="300" w:line="582" w:lineRule="atLeast"/>
        <w:textAlignment w:val="baseline"/>
        <w:outlineLvl w:val="1"/>
        <w:rPr>
          <w:rFonts w:ascii="inherit" w:eastAsia="Times New Roman" w:hAnsi="inherit" w:cs="Open Sans"/>
          <w:b/>
          <w:bCs/>
          <w:color w:val="003299"/>
          <w:kern w:val="0"/>
          <w:sz w:val="42"/>
          <w:szCs w:val="42"/>
          <w:lang w:eastAsia="de-AT"/>
          <w14:ligatures w14:val="none"/>
        </w:rPr>
      </w:pPr>
      <w:r w:rsidRPr="00D84BC6">
        <w:rPr>
          <w:rFonts w:ascii="inherit" w:eastAsia="Times New Roman" w:hAnsi="inherit" w:cs="Open Sans"/>
          <w:b/>
          <w:bCs/>
          <w:color w:val="003299"/>
          <w:kern w:val="0"/>
          <w:sz w:val="42"/>
          <w:szCs w:val="42"/>
          <w:lang w:eastAsia="de-AT"/>
          <w14:ligatures w14:val="none"/>
        </w:rPr>
        <w:t xml:space="preserve">Preis- und </w:t>
      </w:r>
      <w:proofErr w:type="spellStart"/>
      <w:r w:rsidRPr="00D84BC6">
        <w:rPr>
          <w:rFonts w:ascii="inherit" w:eastAsia="Times New Roman" w:hAnsi="inherit" w:cs="Open Sans"/>
          <w:b/>
          <w:bCs/>
          <w:color w:val="003299"/>
          <w:kern w:val="0"/>
          <w:sz w:val="42"/>
          <w:szCs w:val="42"/>
          <w:lang w:eastAsia="de-AT"/>
          <w14:ligatures w14:val="none"/>
        </w:rPr>
        <w:t>Lohnstarrheiten</w:t>
      </w:r>
      <w:proofErr w:type="spellEnd"/>
      <w:r w:rsidRPr="00D84BC6">
        <w:rPr>
          <w:rFonts w:ascii="inherit" w:eastAsia="Times New Roman" w:hAnsi="inherit" w:cs="Open Sans"/>
          <w:b/>
          <w:bCs/>
          <w:color w:val="003299"/>
          <w:kern w:val="0"/>
          <w:sz w:val="42"/>
          <w:szCs w:val="42"/>
          <w:lang w:eastAsia="de-AT"/>
          <w14:ligatures w14:val="none"/>
        </w:rPr>
        <w:t xml:space="preserve"> führen dazu, dass die zugrunde liegende Inflation stabiler ist</w:t>
      </w:r>
    </w:p>
    <w:p w14:paraId="091B06FD" w14:textId="77777777" w:rsidR="00D84BC6" w:rsidRPr="00D84BC6" w:rsidRDefault="00D84BC6" w:rsidP="00D84BC6">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D84BC6">
        <w:rPr>
          <w:rFonts w:ascii="Open Sans" w:eastAsia="Times New Roman" w:hAnsi="Open Sans" w:cs="Open Sans"/>
          <w:color w:val="555555"/>
          <w:kern w:val="0"/>
          <w:sz w:val="30"/>
          <w:szCs w:val="30"/>
          <w:lang w:eastAsia="de-AT"/>
          <w14:ligatures w14:val="none"/>
        </w:rPr>
        <w:lastRenderedPageBreak/>
        <w:t>Unseren jüngsten Expertenprognosen der EZB gehen davon aus, dass sowohl die Gesamt- als auch die Kerninflation bis Ende 2025 in Richtung 2 % sinken werden (Folie 4). Die Prognosen verdeutlichen ein wesentliches Merkmal der letzten Meile: Während es ein Jahr dauerte, um die Inflation von 10,6 % auf 2,9 % zu bringen, wird es voraussichtlich etwa doppelt so lange dauern, bis die Inflation von hier wieder auf 2 % ansteigt.</w:t>
      </w:r>
    </w:p>
    <w:p w14:paraId="6CE7D799" w14:textId="77777777" w:rsidR="00D84BC6" w:rsidRPr="00D84BC6" w:rsidRDefault="00D84BC6" w:rsidP="00D84BC6">
      <w:pPr>
        <w:spacing w:after="0" w:line="240" w:lineRule="auto"/>
        <w:textAlignment w:val="baseline"/>
        <w:rPr>
          <w:rFonts w:ascii="Open Sans" w:eastAsia="Times New Roman" w:hAnsi="Open Sans" w:cs="Open Sans"/>
          <w:color w:val="555555"/>
          <w:kern w:val="0"/>
          <w:sz w:val="30"/>
          <w:szCs w:val="30"/>
          <w:lang w:eastAsia="de-AT"/>
          <w14:ligatures w14:val="none"/>
        </w:rPr>
      </w:pPr>
      <w:r w:rsidRPr="00D84BC6">
        <w:rPr>
          <w:rFonts w:ascii="Open Sans" w:eastAsia="Times New Roman" w:hAnsi="Open Sans" w:cs="Open Sans"/>
          <w:color w:val="555555"/>
          <w:kern w:val="0"/>
          <w:sz w:val="30"/>
          <w:szCs w:val="30"/>
          <w:lang w:eastAsia="de-AT"/>
          <w14:ligatures w14:val="none"/>
        </w:rPr>
        <w:t xml:space="preserve">Mit anderen Worten: Der Desinflationsprozess dürfte sich deutlich verlangsamen. Dies hängt im Wesentlichen mit der Art und Weise zusammen, wie Löhne und Preise festgelegt </w:t>
      </w:r>
      <w:proofErr w:type="gramStart"/>
      <w:r w:rsidRPr="00D84BC6">
        <w:rPr>
          <w:rFonts w:ascii="Open Sans" w:eastAsia="Times New Roman" w:hAnsi="Open Sans" w:cs="Open Sans"/>
          <w:color w:val="555555"/>
          <w:kern w:val="0"/>
          <w:sz w:val="30"/>
          <w:szCs w:val="30"/>
          <w:lang w:eastAsia="de-AT"/>
          <w14:ligatures w14:val="none"/>
        </w:rPr>
        <w:t>werden.</w:t>
      </w:r>
      <w:r w:rsidRPr="00D84BC6">
        <w:rPr>
          <w:rFonts w:ascii="Open Sans" w:eastAsia="Times New Roman" w:hAnsi="Open Sans" w:cs="Open Sans"/>
          <w:color w:val="555555"/>
          <w:kern w:val="0"/>
          <w:sz w:val="21"/>
          <w:szCs w:val="21"/>
          <w:bdr w:val="none" w:sz="0" w:space="0" w:color="auto" w:frame="1"/>
          <w:vertAlign w:val="superscript"/>
          <w:lang w:eastAsia="de-AT"/>
          <w14:ligatures w14:val="none"/>
        </w:rPr>
        <w:t>[</w:t>
      </w:r>
      <w:proofErr w:type="gramEnd"/>
      <w:r w:rsidRPr="00D84BC6">
        <w:rPr>
          <w:rFonts w:ascii="Open Sans" w:eastAsia="Times New Roman" w:hAnsi="Open Sans" w:cs="Open Sans"/>
          <w:color w:val="555555"/>
          <w:kern w:val="0"/>
          <w:sz w:val="21"/>
          <w:szCs w:val="21"/>
          <w:bdr w:val="none" w:sz="0" w:space="0" w:color="auto" w:frame="1"/>
          <w:vertAlign w:val="superscript"/>
          <w:lang w:eastAsia="de-AT"/>
          <w14:ligatures w14:val="none"/>
        </w:rPr>
        <w:fldChar w:fldCharType="begin"/>
      </w:r>
      <w:r w:rsidRPr="00D84BC6">
        <w:rPr>
          <w:rFonts w:ascii="Open Sans" w:eastAsia="Times New Roman" w:hAnsi="Open Sans" w:cs="Open Sans"/>
          <w:color w:val="555555"/>
          <w:kern w:val="0"/>
          <w:sz w:val="21"/>
          <w:szCs w:val="21"/>
          <w:bdr w:val="none" w:sz="0" w:space="0" w:color="auto" w:frame="1"/>
          <w:vertAlign w:val="superscript"/>
          <w:lang w:eastAsia="de-AT"/>
          <w14:ligatures w14:val="none"/>
        </w:rPr>
        <w:instrText>HYPERLINK "https://www.ecb.europa.eu/press/key/date/2023/html/ecb.sp231102_1~4bb07ebef7.en.html" \l "footnote.4"</w:instrText>
      </w:r>
      <w:r w:rsidRPr="00D84BC6">
        <w:rPr>
          <w:rFonts w:ascii="Open Sans" w:eastAsia="Times New Roman" w:hAnsi="Open Sans" w:cs="Open Sans"/>
          <w:color w:val="555555"/>
          <w:kern w:val="0"/>
          <w:sz w:val="21"/>
          <w:szCs w:val="21"/>
          <w:bdr w:val="none" w:sz="0" w:space="0" w:color="auto" w:frame="1"/>
          <w:vertAlign w:val="superscript"/>
          <w:lang w:eastAsia="de-AT"/>
          <w14:ligatures w14:val="none"/>
        </w:rPr>
      </w:r>
      <w:r w:rsidRPr="00D84BC6">
        <w:rPr>
          <w:rFonts w:ascii="Open Sans" w:eastAsia="Times New Roman" w:hAnsi="Open Sans" w:cs="Open Sans"/>
          <w:color w:val="555555"/>
          <w:kern w:val="0"/>
          <w:sz w:val="21"/>
          <w:szCs w:val="21"/>
          <w:bdr w:val="none" w:sz="0" w:space="0" w:color="auto" w:frame="1"/>
          <w:vertAlign w:val="superscript"/>
          <w:lang w:eastAsia="de-AT"/>
          <w14:ligatures w14:val="none"/>
        </w:rPr>
        <w:fldChar w:fldCharType="separate"/>
      </w:r>
      <w:r w:rsidRPr="00D84BC6">
        <w:rPr>
          <w:rFonts w:ascii="Open Sans" w:eastAsia="Times New Roman" w:hAnsi="Open Sans" w:cs="Open Sans"/>
          <w:color w:val="2B7AB6"/>
          <w:kern w:val="0"/>
          <w:sz w:val="21"/>
          <w:szCs w:val="21"/>
          <w:bdr w:val="none" w:sz="0" w:space="0" w:color="auto" w:frame="1"/>
          <w:lang w:eastAsia="de-AT"/>
          <w14:ligatures w14:val="none"/>
        </w:rPr>
        <w:t>4</w:t>
      </w:r>
      <w:r w:rsidRPr="00D84BC6">
        <w:rPr>
          <w:rFonts w:ascii="Open Sans" w:eastAsia="Times New Roman" w:hAnsi="Open Sans" w:cs="Open Sans"/>
          <w:color w:val="555555"/>
          <w:kern w:val="0"/>
          <w:sz w:val="21"/>
          <w:szCs w:val="21"/>
          <w:bdr w:val="none" w:sz="0" w:space="0" w:color="auto" w:frame="1"/>
          <w:vertAlign w:val="superscript"/>
          <w:lang w:eastAsia="de-AT"/>
          <w14:ligatures w14:val="none"/>
        </w:rPr>
        <w:fldChar w:fldCharType="end"/>
      </w:r>
      <w:r w:rsidRPr="00D84BC6">
        <w:rPr>
          <w:rFonts w:ascii="Open Sans" w:eastAsia="Times New Roman" w:hAnsi="Open Sans" w:cs="Open Sans"/>
          <w:color w:val="555555"/>
          <w:kern w:val="0"/>
          <w:sz w:val="21"/>
          <w:szCs w:val="21"/>
          <w:bdr w:val="none" w:sz="0" w:space="0" w:color="auto" w:frame="1"/>
          <w:vertAlign w:val="superscript"/>
          <w:lang w:eastAsia="de-AT"/>
          <w14:ligatures w14:val="none"/>
        </w:rPr>
        <w:t>]</w:t>
      </w:r>
    </w:p>
    <w:p w14:paraId="1546F18F" w14:textId="77777777" w:rsidR="00D84BC6" w:rsidRPr="00D84BC6" w:rsidRDefault="00D84BC6" w:rsidP="00D84BC6">
      <w:pPr>
        <w:spacing w:after="0" w:line="240" w:lineRule="auto"/>
        <w:textAlignment w:val="baseline"/>
        <w:rPr>
          <w:rFonts w:ascii="Open Sans" w:eastAsia="Times New Roman" w:hAnsi="Open Sans" w:cs="Open Sans"/>
          <w:color w:val="555555"/>
          <w:kern w:val="0"/>
          <w:sz w:val="30"/>
          <w:szCs w:val="30"/>
          <w:lang w:eastAsia="de-AT"/>
          <w14:ligatures w14:val="none"/>
        </w:rPr>
      </w:pPr>
      <w:r w:rsidRPr="00D84BC6">
        <w:rPr>
          <w:rFonts w:ascii="Open Sans" w:eastAsia="Times New Roman" w:hAnsi="Open Sans" w:cs="Open Sans"/>
          <w:color w:val="555555"/>
          <w:kern w:val="0"/>
          <w:sz w:val="30"/>
          <w:szCs w:val="30"/>
          <w:lang w:eastAsia="de-AT"/>
          <w14:ligatures w14:val="none"/>
        </w:rPr>
        <w:t>Im vergangenen Jahr haben Unternehmen ihre Verkaufspreise deutlich häufiger angepasst als sonst (Folie 5, linke Seite). Sie taten dies, um ihre Gewinnmargen in einer Zeit schnell steigender Inputkosten zu schützen. Im Fachjargon der Ökonomen spricht man von einer zustandsabhängigen Preisgestaltung: Wenn die Preise weit von ihrem optimalen Niveau entfernt sind, ist die Wahrscheinlichkeit größer, dass Unternehmen sie anpassen (Folie 5, rechte Seite).</w:t>
      </w:r>
      <w:r w:rsidRPr="00D84BC6">
        <w:rPr>
          <w:rFonts w:ascii="Open Sans" w:eastAsia="Times New Roman" w:hAnsi="Open Sans" w:cs="Open Sans"/>
          <w:color w:val="555555"/>
          <w:kern w:val="0"/>
          <w:sz w:val="21"/>
          <w:szCs w:val="21"/>
          <w:bdr w:val="none" w:sz="0" w:space="0" w:color="auto" w:frame="1"/>
          <w:vertAlign w:val="superscript"/>
          <w:lang w:eastAsia="de-AT"/>
          <w14:ligatures w14:val="none"/>
        </w:rPr>
        <w:t>[</w:t>
      </w:r>
      <w:hyperlink r:id="rId40" w:anchor="footnote.5" w:history="1">
        <w:r w:rsidRPr="00D84BC6">
          <w:rPr>
            <w:rFonts w:ascii="Open Sans" w:eastAsia="Times New Roman" w:hAnsi="Open Sans" w:cs="Open Sans"/>
            <w:color w:val="2B7AB6"/>
            <w:kern w:val="0"/>
            <w:sz w:val="21"/>
            <w:szCs w:val="21"/>
            <w:bdr w:val="none" w:sz="0" w:space="0" w:color="auto" w:frame="1"/>
            <w:lang w:eastAsia="de-AT"/>
            <w14:ligatures w14:val="none"/>
          </w:rPr>
          <w:t>5</w:t>
        </w:r>
      </w:hyperlink>
      <w:r w:rsidRPr="00D84BC6">
        <w:rPr>
          <w:rFonts w:ascii="Open Sans" w:eastAsia="Times New Roman" w:hAnsi="Open Sans" w:cs="Open Sans"/>
          <w:color w:val="555555"/>
          <w:kern w:val="0"/>
          <w:sz w:val="21"/>
          <w:szCs w:val="21"/>
          <w:bdr w:val="none" w:sz="0" w:space="0" w:color="auto" w:frame="1"/>
          <w:vertAlign w:val="superscript"/>
          <w:lang w:eastAsia="de-AT"/>
          <w14:ligatures w14:val="none"/>
        </w:rPr>
        <w:t>]</w:t>
      </w:r>
    </w:p>
    <w:p w14:paraId="5DADC0DB" w14:textId="77777777" w:rsidR="00D84BC6" w:rsidRPr="00D84BC6" w:rsidRDefault="00D84BC6" w:rsidP="00D84BC6">
      <w:pPr>
        <w:spacing w:after="0" w:line="240" w:lineRule="auto"/>
        <w:textAlignment w:val="baseline"/>
        <w:rPr>
          <w:rFonts w:ascii="Open Sans" w:eastAsia="Times New Roman" w:hAnsi="Open Sans" w:cs="Open Sans"/>
          <w:color w:val="555555"/>
          <w:kern w:val="0"/>
          <w:sz w:val="30"/>
          <w:szCs w:val="30"/>
          <w:lang w:eastAsia="de-AT"/>
          <w14:ligatures w14:val="none"/>
        </w:rPr>
      </w:pPr>
      <w:r w:rsidRPr="00D84BC6">
        <w:rPr>
          <w:rFonts w:ascii="Open Sans" w:eastAsia="Times New Roman" w:hAnsi="Open Sans" w:cs="Open Sans"/>
          <w:color w:val="555555"/>
          <w:kern w:val="0"/>
          <w:sz w:val="30"/>
          <w:szCs w:val="30"/>
          <w:lang w:eastAsia="de-AT"/>
          <w14:ligatures w14:val="none"/>
        </w:rPr>
        <w:t>In vielen Fällen erhöhten Unternehmen sogar ihre Verkaufspreise über die Kostensteigerung hinaus und steigerten so die Stückgewinne (Folie 6, linke Seite). Dies war möglich, weil die Gesamtnachfrage in einer Zeit erheblicher Angebotsengpässe außerordentlich widerstandsfähig blieb und Steuertransfers Unternehmen und Haushalte vor den negativen Einkommenseffekten der Pandemie und des Krieges in der Ukraine schützten (Folie 6, rechte Seite).</w:t>
      </w:r>
      <w:r w:rsidRPr="00D84BC6">
        <w:rPr>
          <w:rFonts w:ascii="Open Sans" w:eastAsia="Times New Roman" w:hAnsi="Open Sans" w:cs="Open Sans"/>
          <w:color w:val="555555"/>
          <w:kern w:val="0"/>
          <w:sz w:val="21"/>
          <w:szCs w:val="21"/>
          <w:bdr w:val="none" w:sz="0" w:space="0" w:color="auto" w:frame="1"/>
          <w:vertAlign w:val="superscript"/>
          <w:lang w:eastAsia="de-AT"/>
          <w14:ligatures w14:val="none"/>
        </w:rPr>
        <w:t>[</w:t>
      </w:r>
      <w:hyperlink r:id="rId41" w:anchor="footnote.6" w:history="1">
        <w:r w:rsidRPr="00D84BC6">
          <w:rPr>
            <w:rFonts w:ascii="Open Sans" w:eastAsia="Times New Roman" w:hAnsi="Open Sans" w:cs="Open Sans"/>
            <w:color w:val="2B7AB6"/>
            <w:kern w:val="0"/>
            <w:sz w:val="21"/>
            <w:szCs w:val="21"/>
            <w:bdr w:val="none" w:sz="0" w:space="0" w:color="auto" w:frame="1"/>
            <w:lang w:eastAsia="de-AT"/>
            <w14:ligatures w14:val="none"/>
          </w:rPr>
          <w:t>6</w:t>
        </w:r>
      </w:hyperlink>
      <w:r w:rsidRPr="00D84BC6">
        <w:rPr>
          <w:rFonts w:ascii="Open Sans" w:eastAsia="Times New Roman" w:hAnsi="Open Sans" w:cs="Open Sans"/>
          <w:color w:val="555555"/>
          <w:kern w:val="0"/>
          <w:sz w:val="21"/>
          <w:szCs w:val="21"/>
          <w:bdr w:val="none" w:sz="0" w:space="0" w:color="auto" w:frame="1"/>
          <w:vertAlign w:val="superscript"/>
          <w:lang w:eastAsia="de-AT"/>
          <w14:ligatures w14:val="none"/>
        </w:rPr>
        <w:t>]</w:t>
      </w:r>
    </w:p>
    <w:p w14:paraId="6DCC7D74" w14:textId="77777777" w:rsidR="00D84BC6" w:rsidRPr="00D84BC6" w:rsidRDefault="00D84BC6" w:rsidP="00D84BC6">
      <w:pPr>
        <w:spacing w:after="0" w:line="240" w:lineRule="auto"/>
        <w:textAlignment w:val="baseline"/>
        <w:rPr>
          <w:rFonts w:ascii="Open Sans" w:eastAsia="Times New Roman" w:hAnsi="Open Sans" w:cs="Open Sans"/>
          <w:color w:val="555555"/>
          <w:kern w:val="0"/>
          <w:sz w:val="30"/>
          <w:szCs w:val="30"/>
          <w:lang w:eastAsia="de-AT"/>
          <w14:ligatures w14:val="none"/>
        </w:rPr>
      </w:pPr>
      <w:r w:rsidRPr="00D84BC6">
        <w:rPr>
          <w:rFonts w:ascii="Open Sans" w:eastAsia="Times New Roman" w:hAnsi="Open Sans" w:cs="Open Sans"/>
          <w:color w:val="555555"/>
          <w:kern w:val="0"/>
          <w:sz w:val="30"/>
          <w:szCs w:val="30"/>
          <w:lang w:eastAsia="de-AT"/>
          <w14:ligatures w14:val="none"/>
        </w:rPr>
        <w:t>Wenn jedoch die Inputkosten sinken oder die Bedingungen weitgehend stabil sind, verhalten sich die meisten Unternehmen anders. Dann ändern sie ihre Preise zurückhaltender, was die zugrunde liegende Inflation fester macht und den Inflationsabbau verlangsamt.</w:t>
      </w:r>
    </w:p>
    <w:p w14:paraId="58F5BA8F" w14:textId="77777777" w:rsidR="00D84BC6" w:rsidRPr="00D84BC6" w:rsidRDefault="00D84BC6" w:rsidP="00D84BC6">
      <w:pPr>
        <w:spacing w:after="0" w:line="240" w:lineRule="auto"/>
        <w:textAlignment w:val="baseline"/>
        <w:rPr>
          <w:rFonts w:ascii="Open Sans" w:eastAsia="Times New Roman" w:hAnsi="Open Sans" w:cs="Open Sans"/>
          <w:color w:val="555555"/>
          <w:kern w:val="0"/>
          <w:sz w:val="30"/>
          <w:szCs w:val="30"/>
          <w:lang w:eastAsia="de-AT"/>
          <w14:ligatures w14:val="none"/>
        </w:rPr>
      </w:pPr>
      <w:r w:rsidRPr="00D84BC6">
        <w:rPr>
          <w:rFonts w:ascii="Open Sans" w:eastAsia="Times New Roman" w:hAnsi="Open Sans" w:cs="Open Sans"/>
          <w:color w:val="555555"/>
          <w:kern w:val="0"/>
          <w:sz w:val="30"/>
          <w:szCs w:val="30"/>
          <w:lang w:eastAsia="de-AT"/>
          <w14:ligatures w14:val="none"/>
        </w:rPr>
        <w:lastRenderedPageBreak/>
        <w:t>Darüber hinaus werden die Löhne oft gestaffelt festgesetzt, was sich erst mit Verzögerung auf die Kostenbasis der Unternehmen auswirkt.</w:t>
      </w:r>
      <w:r w:rsidRPr="00D84BC6">
        <w:rPr>
          <w:rFonts w:ascii="Open Sans" w:eastAsia="Times New Roman" w:hAnsi="Open Sans" w:cs="Open Sans"/>
          <w:color w:val="555555"/>
          <w:kern w:val="0"/>
          <w:sz w:val="21"/>
          <w:szCs w:val="21"/>
          <w:bdr w:val="none" w:sz="0" w:space="0" w:color="auto" w:frame="1"/>
          <w:vertAlign w:val="superscript"/>
          <w:lang w:eastAsia="de-AT"/>
          <w14:ligatures w14:val="none"/>
        </w:rPr>
        <w:t>[</w:t>
      </w:r>
      <w:hyperlink r:id="rId42" w:anchor="footnote.7" w:history="1">
        <w:r w:rsidRPr="00D84BC6">
          <w:rPr>
            <w:rFonts w:ascii="Open Sans" w:eastAsia="Times New Roman" w:hAnsi="Open Sans" w:cs="Open Sans"/>
            <w:color w:val="2B7AB6"/>
            <w:kern w:val="0"/>
            <w:sz w:val="21"/>
            <w:szCs w:val="21"/>
            <w:bdr w:val="none" w:sz="0" w:space="0" w:color="auto" w:frame="1"/>
            <w:lang w:eastAsia="de-AT"/>
            <w14:ligatures w14:val="none"/>
          </w:rPr>
          <w:t>7</w:t>
        </w:r>
      </w:hyperlink>
      <w:r w:rsidRPr="00D84BC6">
        <w:rPr>
          <w:rFonts w:ascii="Open Sans" w:eastAsia="Times New Roman" w:hAnsi="Open Sans" w:cs="Open Sans"/>
          <w:color w:val="555555"/>
          <w:kern w:val="0"/>
          <w:sz w:val="21"/>
          <w:szCs w:val="21"/>
          <w:bdr w:val="none" w:sz="0" w:space="0" w:color="auto" w:frame="1"/>
          <w:vertAlign w:val="superscript"/>
          <w:lang w:eastAsia="de-AT"/>
          <w14:ligatures w14:val="none"/>
        </w:rPr>
        <w:t>]</w:t>
      </w:r>
      <w:r w:rsidRPr="00D84BC6">
        <w:rPr>
          <w:rFonts w:ascii="Open Sans" w:eastAsia="Times New Roman" w:hAnsi="Open Sans" w:cs="Open Sans"/>
          <w:color w:val="555555"/>
          <w:kern w:val="0"/>
          <w:sz w:val="30"/>
          <w:szCs w:val="30"/>
          <w:lang w:eastAsia="de-AT"/>
          <w14:ligatures w14:val="none"/>
        </w:rPr>
        <w:t>Im Euroraum hat das Lohnwachstum im vergangenen Jahr stark zugenommen, da die Arbeitnehmer versuchen, die verlorene Kaufkraft auszugleichen.</w:t>
      </w:r>
    </w:p>
    <w:p w14:paraId="6602DDAF" w14:textId="77777777" w:rsidR="00D84BC6" w:rsidRPr="00D84BC6" w:rsidRDefault="00D84BC6" w:rsidP="00D84BC6">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D84BC6">
        <w:rPr>
          <w:rFonts w:ascii="Open Sans" w:eastAsia="Times New Roman" w:hAnsi="Open Sans" w:cs="Open Sans"/>
          <w:color w:val="555555"/>
          <w:kern w:val="0"/>
          <w:sz w:val="30"/>
          <w:szCs w:val="30"/>
          <w:lang w:eastAsia="de-AT"/>
          <w14:ligatures w14:val="none"/>
        </w:rPr>
        <w:t>Unsere Indikatoren, insbesondere diejenigen, die kürzlich unterzeichnete Tarifverträge verfolgen, deuten auf ein anhaltend starkes Lohnwachstum zu einer Zeit hin, in der die Inflation bereits sinkt (Folie 7, linke Seite). Hierbei handelt es sich um die langsamen Zweitrundeneffekte der negativen angebotsseitigen Schocks, die die Wirtschaft des Euroraums in den vergangenen Jahren getroffen haben.</w:t>
      </w:r>
    </w:p>
    <w:p w14:paraId="16FF6555" w14:textId="77777777" w:rsidR="00D84BC6" w:rsidRPr="00D84BC6" w:rsidRDefault="00D84BC6" w:rsidP="00D84BC6">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D84BC6">
        <w:rPr>
          <w:rFonts w:ascii="Open Sans" w:eastAsia="Times New Roman" w:hAnsi="Open Sans" w:cs="Open Sans"/>
          <w:color w:val="555555"/>
          <w:kern w:val="0"/>
          <w:sz w:val="30"/>
          <w:szCs w:val="30"/>
          <w:lang w:eastAsia="de-AT"/>
          <w14:ligatures w14:val="none"/>
        </w:rPr>
        <w:t>Das geringe Produktivitätswachstum übt zusätzlichen Druck auf die Lohnstückkosten der Unternehmen aus, die seit Anfang 2022 stark ansteigen (Folie 7, rechte Seite).</w:t>
      </w:r>
    </w:p>
    <w:p w14:paraId="5EDF30CA" w14:textId="77777777" w:rsidR="00D84BC6" w:rsidRPr="00D84BC6" w:rsidRDefault="00D84BC6" w:rsidP="00D84BC6">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D84BC6">
        <w:rPr>
          <w:rFonts w:ascii="Open Sans" w:eastAsia="Times New Roman" w:hAnsi="Open Sans" w:cs="Open Sans"/>
          <w:color w:val="555555"/>
          <w:kern w:val="0"/>
          <w:sz w:val="30"/>
          <w:szCs w:val="30"/>
          <w:lang w:eastAsia="de-AT"/>
          <w14:ligatures w14:val="none"/>
        </w:rPr>
        <w:t>Die Verteilung der Preisänderungen verdeutlicht diese Rigiditäten. Im September stiegen rund 45 % der Dienstleistungspreise, gewichtet nach ihrem Anteil am HVPI-Korb, immer noch mit einer Rate von über 5 %, wobei dieser Anteil nur sehr langsam zurückging (Folie 8, linke Seite). Im Warensektor begann der Anteil der Produkte mit besonders starken Preissteigerungen schon früher zu sinken (Folie 8, rechte Seite). Aber selbst in diesem Sektor weisen derzeit immer noch fast 40 % der Produkte eine Steigerungsrate von über 5 % auf.</w:t>
      </w:r>
    </w:p>
    <w:p w14:paraId="335F9717" w14:textId="77777777" w:rsidR="00D84BC6" w:rsidRPr="00D84BC6" w:rsidRDefault="00D84BC6" w:rsidP="00D84BC6">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D84BC6">
        <w:rPr>
          <w:rFonts w:ascii="Open Sans" w:eastAsia="Times New Roman" w:hAnsi="Open Sans" w:cs="Open Sans"/>
          <w:color w:val="555555"/>
          <w:kern w:val="0"/>
          <w:sz w:val="30"/>
          <w:szCs w:val="30"/>
          <w:lang w:eastAsia="de-AT"/>
          <w14:ligatures w14:val="none"/>
        </w:rPr>
        <w:t xml:space="preserve">Angesichts dieser Rigiditäten wird sich die Desinflation deutlich verlangsamen. Damit sich die Kerninflation im Einklang mit den Prognosen der Experten der EZB entwickelt, müssen zwei wichtige Bedingungen erfüllt sein. Einer davon ist, dass das Wachstum der Lohnstückkosten schließlich auf ein Niveau </w:t>
      </w:r>
      <w:r w:rsidRPr="00D84BC6">
        <w:rPr>
          <w:rFonts w:ascii="Open Sans" w:eastAsia="Times New Roman" w:hAnsi="Open Sans" w:cs="Open Sans"/>
          <w:color w:val="555555"/>
          <w:kern w:val="0"/>
          <w:sz w:val="30"/>
          <w:szCs w:val="30"/>
          <w:lang w:eastAsia="de-AT"/>
          <w14:ligatures w14:val="none"/>
        </w:rPr>
        <w:lastRenderedPageBreak/>
        <w:t>zurückfällt, das im Großen und Ganzen mit einer mittelfristigen Inflation von 2 % vereinbar ist. Zweitens werden die Unternehmen ihre Gewinnmargen als Puffer nutzen, um die Durchwirkung der derzeit starken Lohnsteigerungen auf die Verbraucherpreise zu begrenzen.</w:t>
      </w:r>
    </w:p>
    <w:p w14:paraId="753421CC" w14:textId="77777777" w:rsidR="00D84BC6" w:rsidRPr="00D84BC6" w:rsidRDefault="00D84BC6" w:rsidP="00D84BC6">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D84BC6">
        <w:rPr>
          <w:rFonts w:ascii="Open Sans" w:eastAsia="Times New Roman" w:hAnsi="Open Sans" w:cs="Open Sans"/>
          <w:color w:val="555555"/>
          <w:kern w:val="0"/>
          <w:sz w:val="30"/>
          <w:szCs w:val="30"/>
          <w:lang w:eastAsia="de-AT"/>
          <w14:ligatures w14:val="none"/>
        </w:rPr>
        <w:t>Auf der letzten Meile geht es darum sicherzustellen, dass diese beiden Bedingungen rechtzeitig erfüllt werden. Dieser Prozess steht vor zwei zentralen Herausforderungen. Die erste ist die angemessene Kalibrierung und Übertragung der Geldpolitik. Der zweite Grund ist das mögliche Auftreten neuer angebotsseitiger Schocks.</w:t>
      </w:r>
    </w:p>
    <w:p w14:paraId="6C018425" w14:textId="77777777" w:rsidR="00D84BC6" w:rsidRPr="00D84BC6" w:rsidRDefault="00D84BC6" w:rsidP="00D84BC6">
      <w:pPr>
        <w:spacing w:before="750" w:after="300" w:line="485" w:lineRule="atLeast"/>
        <w:textAlignment w:val="baseline"/>
        <w:outlineLvl w:val="2"/>
        <w:rPr>
          <w:rFonts w:ascii="inherit" w:eastAsia="Times New Roman" w:hAnsi="inherit" w:cs="Open Sans"/>
          <w:b/>
          <w:bCs/>
          <w:color w:val="003299"/>
          <w:kern w:val="0"/>
          <w:sz w:val="36"/>
          <w:szCs w:val="36"/>
          <w:lang w:eastAsia="de-AT"/>
          <w14:ligatures w14:val="none"/>
        </w:rPr>
      </w:pPr>
      <w:r w:rsidRPr="00D84BC6">
        <w:rPr>
          <w:rFonts w:ascii="inherit" w:eastAsia="Times New Roman" w:hAnsi="inherit" w:cs="Open Sans"/>
          <w:b/>
          <w:bCs/>
          <w:color w:val="003299"/>
          <w:kern w:val="0"/>
          <w:sz w:val="36"/>
          <w:szCs w:val="36"/>
          <w:lang w:eastAsia="de-AT"/>
          <w14:ligatures w14:val="none"/>
        </w:rPr>
        <w:t>Kalibrierungs- und Übertragungsunsicherheiten machen die letzte Meile zur schwierigsten</w:t>
      </w:r>
    </w:p>
    <w:p w14:paraId="11377528" w14:textId="77777777" w:rsidR="00D84BC6" w:rsidRPr="00D84BC6" w:rsidRDefault="00D84BC6" w:rsidP="00D84BC6">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D84BC6">
        <w:rPr>
          <w:rFonts w:ascii="Open Sans" w:eastAsia="Times New Roman" w:hAnsi="Open Sans" w:cs="Open Sans"/>
          <w:color w:val="555555"/>
          <w:kern w:val="0"/>
          <w:sz w:val="30"/>
          <w:szCs w:val="30"/>
          <w:lang w:eastAsia="de-AT"/>
          <w14:ligatures w14:val="none"/>
        </w:rPr>
        <w:t>Die Desinflation auf der letzten Meile hängt entscheidend davon ab, dass es der Geldpolitik gelingt, die zugrunde liegende Inflation stetig und rechtzeitig zu senken.</w:t>
      </w:r>
    </w:p>
    <w:p w14:paraId="179640CC" w14:textId="77777777" w:rsidR="00D84BC6" w:rsidRPr="00D84BC6" w:rsidRDefault="00D84BC6" w:rsidP="00D84BC6">
      <w:pPr>
        <w:spacing w:after="0" w:line="240" w:lineRule="auto"/>
        <w:textAlignment w:val="baseline"/>
        <w:rPr>
          <w:rFonts w:ascii="Open Sans" w:eastAsia="Times New Roman" w:hAnsi="Open Sans" w:cs="Open Sans"/>
          <w:color w:val="555555"/>
          <w:kern w:val="0"/>
          <w:sz w:val="30"/>
          <w:szCs w:val="30"/>
          <w:lang w:eastAsia="de-AT"/>
          <w14:ligatures w14:val="none"/>
        </w:rPr>
      </w:pPr>
      <w:r w:rsidRPr="00D84BC6">
        <w:rPr>
          <w:rFonts w:ascii="Open Sans" w:eastAsia="Times New Roman" w:hAnsi="Open Sans" w:cs="Open Sans"/>
          <w:color w:val="555555"/>
          <w:kern w:val="0"/>
          <w:sz w:val="30"/>
          <w:szCs w:val="30"/>
          <w:lang w:eastAsia="de-AT"/>
          <w14:ligatures w14:val="none"/>
        </w:rPr>
        <w:t>In der ersten Phase der Desinflation war vor allem eine entschlossene politische Reaktion erforderlich, um die Inflationserwartungen auf einem stabilen Niveau zu halten und so die mit der Wiederherstellung der Preisstabilität verbundenen makroökonomischen Kosten zu senken.</w:t>
      </w:r>
      <w:r w:rsidRPr="00D84BC6">
        <w:rPr>
          <w:rFonts w:ascii="Open Sans" w:eastAsia="Times New Roman" w:hAnsi="Open Sans" w:cs="Open Sans"/>
          <w:color w:val="555555"/>
          <w:kern w:val="0"/>
          <w:sz w:val="21"/>
          <w:szCs w:val="21"/>
          <w:bdr w:val="none" w:sz="0" w:space="0" w:color="auto" w:frame="1"/>
          <w:vertAlign w:val="superscript"/>
          <w:lang w:eastAsia="de-AT"/>
          <w14:ligatures w14:val="none"/>
        </w:rPr>
        <w:t>[</w:t>
      </w:r>
      <w:hyperlink r:id="rId43" w:anchor="footnote.8" w:history="1">
        <w:r w:rsidRPr="00D84BC6">
          <w:rPr>
            <w:rFonts w:ascii="Open Sans" w:eastAsia="Times New Roman" w:hAnsi="Open Sans" w:cs="Open Sans"/>
            <w:color w:val="2B7AB6"/>
            <w:kern w:val="0"/>
            <w:sz w:val="21"/>
            <w:szCs w:val="21"/>
            <w:bdr w:val="none" w:sz="0" w:space="0" w:color="auto" w:frame="1"/>
            <w:lang w:eastAsia="de-AT"/>
            <w14:ligatures w14:val="none"/>
          </w:rPr>
          <w:t>8</w:t>
        </w:r>
      </w:hyperlink>
      <w:r w:rsidRPr="00D84BC6">
        <w:rPr>
          <w:rFonts w:ascii="Open Sans" w:eastAsia="Times New Roman" w:hAnsi="Open Sans" w:cs="Open Sans"/>
          <w:color w:val="555555"/>
          <w:kern w:val="0"/>
          <w:sz w:val="21"/>
          <w:szCs w:val="21"/>
          <w:bdr w:val="none" w:sz="0" w:space="0" w:color="auto" w:frame="1"/>
          <w:vertAlign w:val="superscript"/>
          <w:lang w:eastAsia="de-AT"/>
          <w14:ligatures w14:val="none"/>
        </w:rPr>
        <w:t>]</w:t>
      </w:r>
      <w:r w:rsidRPr="00D84BC6">
        <w:rPr>
          <w:rFonts w:ascii="Open Sans" w:eastAsia="Times New Roman" w:hAnsi="Open Sans" w:cs="Open Sans"/>
          <w:color w:val="555555"/>
          <w:kern w:val="0"/>
          <w:sz w:val="30"/>
          <w:szCs w:val="30"/>
          <w:lang w:eastAsia="de-AT"/>
          <w14:ligatures w14:val="none"/>
        </w:rPr>
        <w:t>Auf der letzten Meile wird der Nachfragekanal der Geldpolitik – wobei eine restriktivere Politik die Wirtschaftstätigkeit verlangsamt – entscheidend, wenn die langen und variablen Verzögerungen allmählich zu Ende gehen.</w:t>
      </w:r>
    </w:p>
    <w:p w14:paraId="7A408D99" w14:textId="77777777" w:rsidR="00D84BC6" w:rsidRPr="00D84BC6" w:rsidRDefault="00D84BC6" w:rsidP="00D84BC6">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D84BC6">
        <w:rPr>
          <w:rFonts w:ascii="Open Sans" w:eastAsia="Times New Roman" w:hAnsi="Open Sans" w:cs="Open Sans"/>
          <w:color w:val="555555"/>
          <w:kern w:val="0"/>
          <w:sz w:val="30"/>
          <w:szCs w:val="30"/>
          <w:lang w:eastAsia="de-AT"/>
          <w14:ligatures w14:val="none"/>
        </w:rPr>
        <w:t xml:space="preserve">Daher muss die Geldpolitik die Lohn- und Preisbildung so steuern, dass sichergestellt wird, dass die beiden Bedingungen für Lohnstückkosten und Gewinnmargen erfüllt sind. Dies gilt insbesondere in einem Umfeld, in dem die mehrjährige </w:t>
      </w:r>
      <w:r w:rsidRPr="00D84BC6">
        <w:rPr>
          <w:rFonts w:ascii="Open Sans" w:eastAsia="Times New Roman" w:hAnsi="Open Sans" w:cs="Open Sans"/>
          <w:color w:val="555555"/>
          <w:kern w:val="0"/>
          <w:sz w:val="30"/>
          <w:szCs w:val="30"/>
          <w:lang w:eastAsia="de-AT"/>
          <w14:ligatures w14:val="none"/>
        </w:rPr>
        <w:lastRenderedPageBreak/>
        <w:t>Aussetzung der Haushaltsregeln und das mögliche Fehlen eines überarbeiteten wirtschaftspolitischen Rahmens in der Europäischen Union das Risiko bergen, dass die Finanzpolitik zu lange zu expansiv bleibt.</w:t>
      </w:r>
    </w:p>
    <w:p w14:paraId="19852F54" w14:textId="77777777" w:rsidR="00D84BC6" w:rsidRPr="00D84BC6" w:rsidRDefault="00D84BC6" w:rsidP="00D84BC6">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D84BC6">
        <w:rPr>
          <w:rFonts w:ascii="Open Sans" w:eastAsia="Times New Roman" w:hAnsi="Open Sans" w:cs="Open Sans"/>
          <w:color w:val="555555"/>
          <w:kern w:val="0"/>
          <w:sz w:val="30"/>
          <w:szCs w:val="30"/>
          <w:lang w:eastAsia="de-AT"/>
          <w14:ligatures w14:val="none"/>
        </w:rPr>
        <w:t>Obwohl das Wirtschaftswachstum im Euroraum im Laufe dieses Jahres schwach war, bleibt erhebliche Unsicherheit über die Verzögerungen und Auswirkungen der Geldpolitik bestehen. Man kann grob zwischen der Unsicherheit hinsichtlich der angemessenen Ausrichtung der Geldpolitik und der Unsicherheit hinsichtlich ihrer Transmission unterscheiden.</w:t>
      </w:r>
    </w:p>
    <w:p w14:paraId="25757006" w14:textId="77777777" w:rsidR="00D84BC6" w:rsidRPr="00D84BC6" w:rsidRDefault="00D84BC6" w:rsidP="00D84BC6">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D84BC6">
        <w:rPr>
          <w:rFonts w:ascii="Open Sans" w:eastAsia="Times New Roman" w:hAnsi="Open Sans" w:cs="Open Sans"/>
          <w:color w:val="555555"/>
          <w:kern w:val="0"/>
          <w:sz w:val="30"/>
          <w:szCs w:val="30"/>
          <w:lang w:eastAsia="de-AT"/>
          <w14:ligatures w14:val="none"/>
        </w:rPr>
        <w:t>Die Kalibrierungsunsicherheit hängt mit der Wahl des geeigneten Niveaus der Leitzinsen und dem Zeitraum zusammen, über den sie auf diesem Niveau bleiben müssen. Es ist von Natur aus schwierig abzuschätzen, in welchem ​​Umfang die Geldpolitik gestrafft werden muss, um die Inflation über einen bestimmten Zeitraum hinweg wieder auf 2 % zu bringen.</w:t>
      </w:r>
    </w:p>
    <w:p w14:paraId="25576D19" w14:textId="77777777" w:rsidR="00D84BC6" w:rsidRPr="00D84BC6" w:rsidRDefault="00D84BC6" w:rsidP="00D84BC6">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D84BC6">
        <w:rPr>
          <w:rFonts w:ascii="Open Sans" w:eastAsia="Times New Roman" w:hAnsi="Open Sans" w:cs="Open Sans"/>
          <w:color w:val="555555"/>
          <w:kern w:val="0"/>
          <w:sz w:val="30"/>
          <w:szCs w:val="30"/>
          <w:lang w:eastAsia="de-AT"/>
          <w14:ligatures w14:val="none"/>
        </w:rPr>
        <w:t>Dies ist im aktuellen Kontext besonders relevant. Es besteht erhebliche Unsicherheit über die Auswirkungen der jüngsten Schocks auf die Angebotskapazität der Wirtschaft und damit auf das Ausmaß der Unterauslastung. Wenn beispielsweise die jüngsten Schocks das Niveau des Produktionspotenzials nachhaltiger senken würden, könnte die Produktionslücke kleiner oder sogar positiv ausfallen und nicht wie in den herkömmlichen Schätzungen negativ.</w:t>
      </w:r>
    </w:p>
    <w:p w14:paraId="26012689" w14:textId="77777777" w:rsidR="00D84BC6" w:rsidRPr="00D84BC6" w:rsidRDefault="00D84BC6" w:rsidP="00D84BC6">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D84BC6">
        <w:rPr>
          <w:rFonts w:ascii="Open Sans" w:eastAsia="Times New Roman" w:hAnsi="Open Sans" w:cs="Open Sans"/>
          <w:color w:val="555555"/>
          <w:kern w:val="0"/>
          <w:sz w:val="30"/>
          <w:szCs w:val="30"/>
          <w:lang w:eastAsia="de-AT"/>
          <w14:ligatures w14:val="none"/>
        </w:rPr>
        <w:t xml:space="preserve">Gleichzeitig könnten die Digitalisierung, die raschen Fortschritte bei der künstlichen Intelligenz und die laufenden Bemühungen zur Beschleunigung des grünen Wandels das potenzielle Produktionswachstum steigern. Dies scheinen die Finanzmärkte zunehmend zu erwarten. Seit Anfang 2022 sind die </w:t>
      </w:r>
      <w:r w:rsidRPr="00D84BC6">
        <w:rPr>
          <w:rFonts w:ascii="Open Sans" w:eastAsia="Times New Roman" w:hAnsi="Open Sans" w:cs="Open Sans"/>
          <w:color w:val="555555"/>
          <w:kern w:val="0"/>
          <w:sz w:val="30"/>
          <w:szCs w:val="30"/>
          <w:lang w:eastAsia="de-AT"/>
          <w14:ligatures w14:val="none"/>
        </w:rPr>
        <w:lastRenderedPageBreak/>
        <w:t>marktbasierten Schätzungen des natürlichen Zinssatzes sowohl im Euroraum als auch in den Vereinigten Staaten messbar gestiegen (Folie 9, linke Seite).</w:t>
      </w:r>
    </w:p>
    <w:p w14:paraId="15301011" w14:textId="77777777" w:rsidR="00D84BC6" w:rsidRPr="00D84BC6" w:rsidRDefault="00D84BC6" w:rsidP="00D84BC6">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D84BC6">
        <w:rPr>
          <w:rFonts w:ascii="Open Sans" w:eastAsia="Times New Roman" w:hAnsi="Open Sans" w:cs="Open Sans"/>
          <w:color w:val="555555"/>
          <w:kern w:val="0"/>
          <w:sz w:val="30"/>
          <w:szCs w:val="30"/>
          <w:lang w:eastAsia="de-AT"/>
          <w14:ligatures w14:val="none"/>
        </w:rPr>
        <w:t>Insgesamt besteht daher große Unsicherheit darüber, wie sich strukturelle Veränderungen auf die Aktivität im Euroraum und weltweit auswirken werden, was die Kalibrierung der Geldpolitik erschwert.</w:t>
      </w:r>
    </w:p>
    <w:p w14:paraId="6FE51BCA" w14:textId="77777777" w:rsidR="00D84BC6" w:rsidRPr="00D84BC6" w:rsidRDefault="00D84BC6" w:rsidP="00D84BC6">
      <w:pPr>
        <w:spacing w:after="0" w:line="240" w:lineRule="auto"/>
        <w:textAlignment w:val="baseline"/>
        <w:rPr>
          <w:rFonts w:ascii="Open Sans" w:eastAsia="Times New Roman" w:hAnsi="Open Sans" w:cs="Open Sans"/>
          <w:color w:val="555555"/>
          <w:kern w:val="0"/>
          <w:sz w:val="30"/>
          <w:szCs w:val="30"/>
          <w:lang w:eastAsia="de-AT"/>
          <w14:ligatures w14:val="none"/>
        </w:rPr>
      </w:pPr>
      <w:r w:rsidRPr="00D84BC6">
        <w:rPr>
          <w:rFonts w:ascii="Open Sans" w:eastAsia="Times New Roman" w:hAnsi="Open Sans" w:cs="Open Sans"/>
          <w:color w:val="555555"/>
          <w:kern w:val="0"/>
          <w:sz w:val="30"/>
          <w:szCs w:val="30"/>
          <w:lang w:eastAsia="de-AT"/>
          <w14:ligatures w14:val="none"/>
        </w:rPr>
        <w:t>Übertragungsunsicherheit kann die Kalibrierungsunsicherheit verstärken – das heißt, selbst wenn die Politik anfänglich angemessen kalibriert wird, ist unklar, wie schnell und in welchem ​​Ausmaß ein bestimmter politischer Impuls auf Aktivität, Preise und Löhne übertragen wird (Folie 9, rechte Seite).</w:t>
      </w:r>
      <w:r w:rsidRPr="00D84BC6">
        <w:rPr>
          <w:rFonts w:ascii="Open Sans" w:eastAsia="Times New Roman" w:hAnsi="Open Sans" w:cs="Open Sans"/>
          <w:color w:val="555555"/>
          <w:kern w:val="0"/>
          <w:sz w:val="21"/>
          <w:szCs w:val="21"/>
          <w:bdr w:val="none" w:sz="0" w:space="0" w:color="auto" w:frame="1"/>
          <w:vertAlign w:val="superscript"/>
          <w:lang w:eastAsia="de-AT"/>
          <w14:ligatures w14:val="none"/>
        </w:rPr>
        <w:t>[</w:t>
      </w:r>
      <w:hyperlink r:id="rId44" w:anchor="footnote.9" w:history="1">
        <w:r w:rsidRPr="00D84BC6">
          <w:rPr>
            <w:rFonts w:ascii="Open Sans" w:eastAsia="Times New Roman" w:hAnsi="Open Sans" w:cs="Open Sans"/>
            <w:color w:val="2B7AB6"/>
            <w:kern w:val="0"/>
            <w:sz w:val="21"/>
            <w:szCs w:val="21"/>
            <w:bdr w:val="none" w:sz="0" w:space="0" w:color="auto" w:frame="1"/>
            <w:lang w:eastAsia="de-AT"/>
            <w14:ligatures w14:val="none"/>
          </w:rPr>
          <w:t>9</w:t>
        </w:r>
      </w:hyperlink>
      <w:r w:rsidRPr="00D84BC6">
        <w:rPr>
          <w:rFonts w:ascii="Open Sans" w:eastAsia="Times New Roman" w:hAnsi="Open Sans" w:cs="Open Sans"/>
          <w:color w:val="555555"/>
          <w:kern w:val="0"/>
          <w:sz w:val="21"/>
          <w:szCs w:val="21"/>
          <w:bdr w:val="none" w:sz="0" w:space="0" w:color="auto" w:frame="1"/>
          <w:vertAlign w:val="superscript"/>
          <w:lang w:eastAsia="de-AT"/>
          <w14:ligatures w14:val="none"/>
        </w:rPr>
        <w:t>]</w:t>
      </w:r>
      <w:r w:rsidRPr="00D84BC6">
        <w:rPr>
          <w:rFonts w:ascii="Open Sans" w:eastAsia="Times New Roman" w:hAnsi="Open Sans" w:cs="Open Sans"/>
          <w:color w:val="555555"/>
          <w:kern w:val="0"/>
          <w:sz w:val="30"/>
          <w:szCs w:val="30"/>
          <w:lang w:eastAsia="de-AT"/>
          <w14:ligatures w14:val="none"/>
        </w:rPr>
        <w:t>Das Tempo und die Stärke der Übertragung beeinflussen das optimale Niveau und die optimale Dauer der Politik.</w:t>
      </w:r>
    </w:p>
    <w:p w14:paraId="4367F664" w14:textId="77777777" w:rsidR="00D84BC6" w:rsidRPr="00D84BC6" w:rsidRDefault="00D84BC6" w:rsidP="00D84BC6">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D84BC6">
        <w:rPr>
          <w:rFonts w:ascii="Open Sans" w:eastAsia="Times New Roman" w:hAnsi="Open Sans" w:cs="Open Sans"/>
          <w:color w:val="555555"/>
          <w:kern w:val="0"/>
          <w:sz w:val="30"/>
          <w:szCs w:val="30"/>
          <w:lang w:eastAsia="de-AT"/>
          <w14:ligatures w14:val="none"/>
        </w:rPr>
        <w:t>Die Übertragung unserer früheren politischen Maßnahmen auf die Kreditvergabebedingungen der Banken war stark, wobei die Kreditkosten stark anstiegen (Folie 10, linke Seite). Infolgedessen sind die Nettokreditflüsse sowohl für Unternehmen als auch für Haushalte praktisch zum Erliegen gekommen (Folie 10, rechte Seite). Mit steigenden Festgeldzinsen ist auch das Sparen attraktiver geworden, was zu einem Anstieg der Sparquote der privaten Haushalte führt.</w:t>
      </w:r>
    </w:p>
    <w:p w14:paraId="06642449" w14:textId="77777777" w:rsidR="00D84BC6" w:rsidRPr="00D84BC6" w:rsidRDefault="00D84BC6" w:rsidP="00D84BC6">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D84BC6">
        <w:rPr>
          <w:rFonts w:ascii="Open Sans" w:eastAsia="Times New Roman" w:hAnsi="Open Sans" w:cs="Open Sans"/>
          <w:color w:val="555555"/>
          <w:kern w:val="0"/>
          <w:sz w:val="30"/>
          <w:szCs w:val="30"/>
          <w:lang w:eastAsia="de-AT"/>
          <w14:ligatures w14:val="none"/>
        </w:rPr>
        <w:t>Die Übertragung über die Kapitalmärkte war uneinheitlicher.</w:t>
      </w:r>
    </w:p>
    <w:p w14:paraId="4AD0C2B6" w14:textId="77777777" w:rsidR="00D84BC6" w:rsidRPr="00D84BC6" w:rsidRDefault="00D84BC6" w:rsidP="00D84BC6">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D84BC6">
        <w:rPr>
          <w:rFonts w:ascii="Open Sans" w:eastAsia="Times New Roman" w:hAnsi="Open Sans" w:cs="Open Sans"/>
          <w:color w:val="555555"/>
          <w:kern w:val="0"/>
          <w:sz w:val="30"/>
          <w:szCs w:val="30"/>
          <w:lang w:eastAsia="de-AT"/>
          <w14:ligatures w14:val="none"/>
        </w:rPr>
        <w:t xml:space="preserve">Bis vor kurzem blieben die Risikoprämien in den meisten Segmenten außergewöhnlich niedrig. In der Vergangenheit stiegen die Risikoprämien sowohl an den Aktien- als auch an den Unternehmensanleihemärkten, als der zusammengesetzte Einkaufsmanagerindex des Euroraums unter die Wachstumsschwelle von 50 fiel (Folie 11). Dies war in diesem </w:t>
      </w:r>
      <w:r w:rsidRPr="00D84BC6">
        <w:rPr>
          <w:rFonts w:ascii="Open Sans" w:eastAsia="Times New Roman" w:hAnsi="Open Sans" w:cs="Open Sans"/>
          <w:color w:val="555555"/>
          <w:kern w:val="0"/>
          <w:sz w:val="30"/>
          <w:szCs w:val="30"/>
          <w:lang w:eastAsia="de-AT"/>
          <w14:ligatures w14:val="none"/>
        </w:rPr>
        <w:lastRenderedPageBreak/>
        <w:t>Jahr jedoch nicht der Fall: Obwohl sich die Wirtschaftsstimmung messbar verschlechterte, blieb die Risikoprämie stabil, was die finanziellen Bedingungen einfacher als üblich machte.</w:t>
      </w:r>
    </w:p>
    <w:p w14:paraId="45CA90D1" w14:textId="77777777" w:rsidR="00D84BC6" w:rsidRPr="00D84BC6" w:rsidRDefault="00D84BC6" w:rsidP="00D84BC6">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D84BC6">
        <w:rPr>
          <w:rFonts w:ascii="Open Sans" w:eastAsia="Times New Roman" w:hAnsi="Open Sans" w:cs="Open Sans"/>
          <w:color w:val="555555"/>
          <w:kern w:val="0"/>
          <w:sz w:val="30"/>
          <w:szCs w:val="30"/>
          <w:lang w:eastAsia="de-AT"/>
          <w14:ligatures w14:val="none"/>
        </w:rPr>
        <w:t xml:space="preserve">Auf den Märkten für Staatsanleihen sind die Laufzeitprämien – also die Risikoprämien, die Anleger für die Übernahme des </w:t>
      </w:r>
      <w:proofErr w:type="spellStart"/>
      <w:r w:rsidRPr="00D84BC6">
        <w:rPr>
          <w:rFonts w:ascii="Open Sans" w:eastAsia="Times New Roman" w:hAnsi="Open Sans" w:cs="Open Sans"/>
          <w:color w:val="555555"/>
          <w:kern w:val="0"/>
          <w:sz w:val="30"/>
          <w:szCs w:val="30"/>
          <w:lang w:eastAsia="de-AT"/>
          <w14:ligatures w14:val="none"/>
        </w:rPr>
        <w:t>Durationsrisikos</w:t>
      </w:r>
      <w:proofErr w:type="spellEnd"/>
      <w:r w:rsidRPr="00D84BC6">
        <w:rPr>
          <w:rFonts w:ascii="Open Sans" w:eastAsia="Times New Roman" w:hAnsi="Open Sans" w:cs="Open Sans"/>
          <w:color w:val="555555"/>
          <w:kern w:val="0"/>
          <w:sz w:val="30"/>
          <w:szCs w:val="30"/>
          <w:lang w:eastAsia="de-AT"/>
          <w14:ligatures w14:val="none"/>
        </w:rPr>
        <w:t xml:space="preserve"> fordern – kontinuierlich und anhaltend gestiegen, seit wir im Dezember 2021 mit der Aufhebung der geldpolitischen Lockerung begonnen haben (Folie 12, linke Seite). Die aktuelle und erwartete zukünftige Abwicklung aller unserer Wertpapierkaufprogramme hat zu dieser Entwicklung beigetragen (Folie 12, rechte Seite).</w:t>
      </w:r>
    </w:p>
    <w:p w14:paraId="07226D75" w14:textId="77777777" w:rsidR="00D84BC6" w:rsidRPr="00D84BC6" w:rsidRDefault="00D84BC6" w:rsidP="00D84BC6">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D84BC6">
        <w:rPr>
          <w:rFonts w:ascii="Open Sans" w:eastAsia="Times New Roman" w:hAnsi="Open Sans" w:cs="Open Sans"/>
          <w:color w:val="555555"/>
          <w:kern w:val="0"/>
          <w:sz w:val="30"/>
          <w:szCs w:val="30"/>
          <w:lang w:eastAsia="de-AT"/>
          <w14:ligatures w14:val="none"/>
        </w:rPr>
        <w:t>Allerdings dürfte das ungewöhnlich niedrige Niveau der Laufzeitprämie in den Vereinigten Staaten durch Arbitragebedingungen auch eine Rückkehr zu höheren Niveaus im Euroraum verhindert haben. Der jüngste Anstieg der globalen Laufzeitprämien hat dazu beigetragen, die marktbasierten Finanzierungsbedingungen näher an die Erwartungen heranzuführen, die angesichts des aktuellen Niveaus der Leitzinsen erwartet werden, auch wenn die Volatilität nach wie vor groß ist.</w:t>
      </w:r>
    </w:p>
    <w:p w14:paraId="4ECDD893" w14:textId="77777777" w:rsidR="00D84BC6" w:rsidRPr="00D84BC6" w:rsidRDefault="00D84BC6" w:rsidP="00D84BC6">
      <w:pPr>
        <w:spacing w:before="750" w:after="300" w:line="485" w:lineRule="atLeast"/>
        <w:textAlignment w:val="baseline"/>
        <w:outlineLvl w:val="2"/>
        <w:rPr>
          <w:rFonts w:ascii="inherit" w:eastAsia="Times New Roman" w:hAnsi="inherit" w:cs="Open Sans"/>
          <w:b/>
          <w:bCs/>
          <w:color w:val="003299"/>
          <w:kern w:val="0"/>
          <w:sz w:val="36"/>
          <w:szCs w:val="36"/>
          <w:lang w:eastAsia="de-AT"/>
          <w14:ligatures w14:val="none"/>
        </w:rPr>
      </w:pPr>
      <w:r w:rsidRPr="00D84BC6">
        <w:rPr>
          <w:rFonts w:ascii="inherit" w:eastAsia="Times New Roman" w:hAnsi="inherit" w:cs="Open Sans"/>
          <w:b/>
          <w:bCs/>
          <w:color w:val="003299"/>
          <w:kern w:val="0"/>
          <w:sz w:val="36"/>
          <w:szCs w:val="36"/>
          <w:lang w:eastAsia="de-AT"/>
          <w14:ligatures w14:val="none"/>
        </w:rPr>
        <w:t>Strukturelle Veränderungen können die politische Transmission schwächen</w:t>
      </w:r>
    </w:p>
    <w:p w14:paraId="49FA6CA6" w14:textId="77777777" w:rsidR="00D84BC6" w:rsidRPr="00D84BC6" w:rsidRDefault="00D84BC6" w:rsidP="00D84BC6">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D84BC6">
        <w:rPr>
          <w:rFonts w:ascii="Open Sans" w:eastAsia="Times New Roman" w:hAnsi="Open Sans" w:cs="Open Sans"/>
          <w:color w:val="555555"/>
          <w:kern w:val="0"/>
          <w:sz w:val="30"/>
          <w:szCs w:val="30"/>
          <w:lang w:eastAsia="de-AT"/>
          <w14:ligatures w14:val="none"/>
        </w:rPr>
        <w:t>Es besteht weiterhin erhebliche Unsicherheit darüber, wie sich zwei strukturelle Faktoren auf die allgemeine politische Transmission auswirken werden.</w:t>
      </w:r>
    </w:p>
    <w:p w14:paraId="2726EFB4" w14:textId="77777777" w:rsidR="00D84BC6" w:rsidRPr="00D84BC6" w:rsidRDefault="00D84BC6" w:rsidP="00D84BC6">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D84BC6">
        <w:rPr>
          <w:rFonts w:ascii="Open Sans" w:eastAsia="Times New Roman" w:hAnsi="Open Sans" w:cs="Open Sans"/>
          <w:color w:val="555555"/>
          <w:kern w:val="0"/>
          <w:sz w:val="30"/>
          <w:szCs w:val="30"/>
          <w:lang w:eastAsia="de-AT"/>
          <w14:ligatures w14:val="none"/>
        </w:rPr>
        <w:t>Die erste bezieht sich auf den Dienstleistungssektor.</w:t>
      </w:r>
    </w:p>
    <w:p w14:paraId="1BC6863D" w14:textId="77777777" w:rsidR="00D84BC6" w:rsidRPr="00D84BC6" w:rsidRDefault="00D84BC6" w:rsidP="00D84BC6">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D84BC6">
        <w:rPr>
          <w:rFonts w:ascii="Open Sans" w:eastAsia="Times New Roman" w:hAnsi="Open Sans" w:cs="Open Sans"/>
          <w:color w:val="555555"/>
          <w:kern w:val="0"/>
          <w:sz w:val="30"/>
          <w:szCs w:val="30"/>
          <w:lang w:eastAsia="de-AT"/>
          <w14:ligatures w14:val="none"/>
        </w:rPr>
        <w:lastRenderedPageBreak/>
        <w:t>Die Geldpolitik wirkt hauptsächlich über die Beeinflussung der Kapitalkosten. Daher ist es natürlich, dass es stärkere Auswirkungen auf kapitalintensivere Aktivitäten wie das Baugewerbe und die verarbeitende Industrie hat. Allerdings ist der Anteil der kapitalintensiven Industrien an der Gesamtaktivität in den letzten Jahrzehnten im Euroraum und weltweit stetig zurückgegangen (Folie 13, linke Seite). Marktdienstleistungen machen heute mehr als die Hälfte der Bruttowertschöpfung aus.</w:t>
      </w:r>
    </w:p>
    <w:p w14:paraId="2A188E54" w14:textId="77777777" w:rsidR="00D84BC6" w:rsidRPr="00D84BC6" w:rsidRDefault="00D84BC6" w:rsidP="00D84BC6">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D84BC6">
        <w:rPr>
          <w:rFonts w:ascii="Open Sans" w:eastAsia="Times New Roman" w:hAnsi="Open Sans" w:cs="Open Sans"/>
          <w:color w:val="555555"/>
          <w:kern w:val="0"/>
          <w:sz w:val="30"/>
          <w:szCs w:val="30"/>
          <w:lang w:eastAsia="de-AT"/>
          <w14:ligatures w14:val="none"/>
        </w:rPr>
        <w:t>In unserer jüngsten telefonischen Unternehmensbefragung gaben drei von vier Unternehmen im Dienstleistungssektor an, dass die erhebliche Veränderung der Finanzierungsbedingungen in den letzten 12 Monaten keine Auswirkungen auf ihre Geschäftstätigkeit hatte (Folie 13, rechte Seite). Und ein noch größerer Anteil der Dienstleistungsunternehmen geht davon aus, dass dies in den kommenden 12 Monaten der Fall sein wird.</w:t>
      </w:r>
    </w:p>
    <w:p w14:paraId="0B1900E3" w14:textId="77777777" w:rsidR="00D84BC6" w:rsidRPr="00D84BC6" w:rsidRDefault="00D84BC6" w:rsidP="00D84BC6">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D84BC6">
        <w:rPr>
          <w:rFonts w:ascii="Open Sans" w:eastAsia="Times New Roman" w:hAnsi="Open Sans" w:cs="Open Sans"/>
          <w:color w:val="555555"/>
          <w:kern w:val="0"/>
          <w:sz w:val="30"/>
          <w:szCs w:val="30"/>
          <w:lang w:eastAsia="de-AT"/>
          <w14:ligatures w14:val="none"/>
        </w:rPr>
        <w:t>Die geldpolitische Transmission könnte daher schwächer oder weniger direkt ausfallen als in der Vergangenheit, was den Desinflationsprozess verlängern könnte.</w:t>
      </w:r>
    </w:p>
    <w:p w14:paraId="5943CC2C" w14:textId="77777777" w:rsidR="00D84BC6" w:rsidRPr="00D84BC6" w:rsidRDefault="00D84BC6" w:rsidP="00D84BC6">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D84BC6">
        <w:rPr>
          <w:rFonts w:ascii="Open Sans" w:eastAsia="Times New Roman" w:hAnsi="Open Sans" w:cs="Open Sans"/>
          <w:color w:val="555555"/>
          <w:kern w:val="0"/>
          <w:sz w:val="30"/>
          <w:szCs w:val="30"/>
          <w:lang w:eastAsia="de-AT"/>
          <w14:ligatures w14:val="none"/>
        </w:rPr>
        <w:t>Die zweite Quelle der Unsicherheit betrifft den anhaltenden Arbeitskräftemangel.</w:t>
      </w:r>
    </w:p>
    <w:p w14:paraId="18FC874F" w14:textId="77777777" w:rsidR="00D84BC6" w:rsidRPr="00D84BC6" w:rsidRDefault="00D84BC6" w:rsidP="00D84BC6">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D84BC6">
        <w:rPr>
          <w:rFonts w:ascii="Open Sans" w:eastAsia="Times New Roman" w:hAnsi="Open Sans" w:cs="Open Sans"/>
          <w:color w:val="555555"/>
          <w:kern w:val="0"/>
          <w:sz w:val="30"/>
          <w:szCs w:val="30"/>
          <w:lang w:eastAsia="de-AT"/>
          <w14:ligatures w14:val="none"/>
        </w:rPr>
        <w:t>Umfragen deuten weiterhin darauf hin, dass die Arbeit ein entscheidender Faktor ist, der die Produktion begrenzt. Die Knappheit bleibt in allen Sektoren in der Nähe historischer Höchststände, insbesondere im Dienstleistungssektor (Folie 14, linke Seite).</w:t>
      </w:r>
    </w:p>
    <w:p w14:paraId="2ADF9494" w14:textId="77777777" w:rsidR="00D84BC6" w:rsidRPr="00D84BC6" w:rsidRDefault="00D84BC6" w:rsidP="00D84BC6">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D84BC6">
        <w:rPr>
          <w:rFonts w:ascii="Open Sans" w:eastAsia="Times New Roman" w:hAnsi="Open Sans" w:cs="Open Sans"/>
          <w:color w:val="555555"/>
          <w:kern w:val="0"/>
          <w:sz w:val="30"/>
          <w:szCs w:val="30"/>
          <w:lang w:eastAsia="de-AT"/>
          <w14:ligatures w14:val="none"/>
        </w:rPr>
        <w:lastRenderedPageBreak/>
        <w:t>Infolgedessen haben Unternehmen auf die schwächelnde Konjunktur reagiert, indem sie an ihren Mitarbeitern festhielten, aus Angst, sie könnten keine Arbeitskräfte mehr finden, sobald die Nachfrage wieder anzieht. Trotz der stärksten Straffung in der Geschichte des Euro-Währungsgebiets um 450 Basispunkte in etwas mehr als einem Jahr sank die Arbeitslosenquote im August auf einen neuen historischen Tiefstand, während die Zahl der Arbeitskräfte in der ersten Hälfte dieses Jahres weiter zunahm Jahr (Folie 14, rechte Seite).</w:t>
      </w:r>
    </w:p>
    <w:p w14:paraId="5E53B20D" w14:textId="77777777" w:rsidR="00D84BC6" w:rsidRPr="00D84BC6" w:rsidRDefault="00D84BC6" w:rsidP="00D84BC6">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D84BC6">
        <w:rPr>
          <w:rFonts w:ascii="Open Sans" w:eastAsia="Times New Roman" w:hAnsi="Open Sans" w:cs="Open Sans"/>
          <w:color w:val="555555"/>
          <w:kern w:val="0"/>
          <w:sz w:val="30"/>
          <w:szCs w:val="30"/>
          <w:lang w:eastAsia="de-AT"/>
          <w14:ligatures w14:val="none"/>
        </w:rPr>
        <w:t>Es ist unklar, wie lange die Übertragung über den Arbeitsmarkt gedämpft bleiben wird. Man kann davon ausgehen, dass es für Unternehmen, insbesondere kleine und mittlere Unternehmen, umso schwieriger wird, Arbeitskräfte zu horten, je länger die Wirtschaftstätigkeit stagniert. Und tatsächlich sehen wir erste Anzeichen dafür, dass der Arbeitsmarkt schwächer wird und die Nachfrage nach Arbeitskräften nachlässt.</w:t>
      </w:r>
    </w:p>
    <w:p w14:paraId="4BE29715" w14:textId="77777777" w:rsidR="00D84BC6" w:rsidRPr="00D84BC6" w:rsidRDefault="00D84BC6" w:rsidP="00D84BC6">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D84BC6">
        <w:rPr>
          <w:rFonts w:ascii="Open Sans" w:eastAsia="Times New Roman" w:hAnsi="Open Sans" w:cs="Open Sans"/>
          <w:color w:val="555555"/>
          <w:kern w:val="0"/>
          <w:sz w:val="30"/>
          <w:szCs w:val="30"/>
          <w:lang w:eastAsia="de-AT"/>
          <w14:ligatures w14:val="none"/>
        </w:rPr>
        <w:t>Doch je langsamer sich dieser Prozess vollzieht und je schwächer er verläuft, desto größer ist das Risiko, dass die anhaltende Anspannung am Arbeitsmarkt die Annahmen, die dem prognostizierten Rückgang der Kerninflation zugrunde liegen, in Frage stellt.</w:t>
      </w:r>
    </w:p>
    <w:p w14:paraId="4ECACBDB" w14:textId="77777777" w:rsidR="00D84BC6" w:rsidRPr="00D84BC6" w:rsidRDefault="00D84BC6" w:rsidP="00D84BC6">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D84BC6">
        <w:rPr>
          <w:rFonts w:ascii="Open Sans" w:eastAsia="Times New Roman" w:hAnsi="Open Sans" w:cs="Open Sans"/>
          <w:color w:val="555555"/>
          <w:kern w:val="0"/>
          <w:sz w:val="30"/>
          <w:szCs w:val="30"/>
          <w:lang w:eastAsia="de-AT"/>
          <w14:ligatures w14:val="none"/>
        </w:rPr>
        <w:t>Insbesondere könnten die Lohnstückkosten stärker steigen als prognostiziert, da die Hortung von Arbeitskräften weiterhin das Produktivitätswachstum belastet und Arbeitskräftemangel günstige Lohnverhandlungsbedingungen begünstigt, während die Arbeitnehmer immer noch versuchen, die erheblichen Kaufkraftverluste auszugleichen.</w:t>
      </w:r>
    </w:p>
    <w:p w14:paraId="54FB787C" w14:textId="77777777" w:rsidR="00D84BC6" w:rsidRPr="00D84BC6" w:rsidRDefault="00D84BC6" w:rsidP="00D84BC6">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D84BC6">
        <w:rPr>
          <w:rFonts w:ascii="Open Sans" w:eastAsia="Times New Roman" w:hAnsi="Open Sans" w:cs="Open Sans"/>
          <w:color w:val="555555"/>
          <w:kern w:val="0"/>
          <w:sz w:val="30"/>
          <w:szCs w:val="30"/>
          <w:lang w:eastAsia="de-AT"/>
          <w14:ligatures w14:val="none"/>
        </w:rPr>
        <w:t xml:space="preserve">Höhere Lohnstückkosten wiederum erhöhen das Risiko, dass Unternehmen einen größeren Teil ihrer Kostensteigerungen auf </w:t>
      </w:r>
      <w:r w:rsidRPr="00D84BC6">
        <w:rPr>
          <w:rFonts w:ascii="Open Sans" w:eastAsia="Times New Roman" w:hAnsi="Open Sans" w:cs="Open Sans"/>
          <w:color w:val="555555"/>
          <w:kern w:val="0"/>
          <w:sz w:val="30"/>
          <w:szCs w:val="30"/>
          <w:lang w:eastAsia="de-AT"/>
          <w14:ligatures w14:val="none"/>
        </w:rPr>
        <w:lastRenderedPageBreak/>
        <w:t>die Endverbraucherpreise abwälzen, was den Grundstein für eine Lohn-Preis-Spirale legen könnte.</w:t>
      </w:r>
    </w:p>
    <w:p w14:paraId="4E4A046A" w14:textId="77777777" w:rsidR="00D84BC6" w:rsidRPr="00D84BC6" w:rsidRDefault="00D84BC6" w:rsidP="00D84BC6">
      <w:pPr>
        <w:spacing w:before="750" w:after="300" w:line="582" w:lineRule="atLeast"/>
        <w:textAlignment w:val="baseline"/>
        <w:outlineLvl w:val="1"/>
        <w:rPr>
          <w:rFonts w:ascii="inherit" w:eastAsia="Times New Roman" w:hAnsi="inherit" w:cs="Open Sans"/>
          <w:b/>
          <w:bCs/>
          <w:color w:val="003299"/>
          <w:kern w:val="0"/>
          <w:sz w:val="42"/>
          <w:szCs w:val="42"/>
          <w:lang w:eastAsia="de-AT"/>
          <w14:ligatures w14:val="none"/>
        </w:rPr>
      </w:pPr>
      <w:r w:rsidRPr="00D84BC6">
        <w:rPr>
          <w:rFonts w:ascii="inherit" w:eastAsia="Times New Roman" w:hAnsi="inherit" w:cs="Open Sans"/>
          <w:b/>
          <w:bCs/>
          <w:color w:val="003299"/>
          <w:kern w:val="0"/>
          <w:sz w:val="42"/>
          <w:szCs w:val="42"/>
          <w:lang w:eastAsia="de-AT"/>
          <w14:ligatures w14:val="none"/>
        </w:rPr>
        <w:t xml:space="preserve">Neue Schocks könnten den </w:t>
      </w:r>
      <w:proofErr w:type="spellStart"/>
      <w:r w:rsidRPr="00D84BC6">
        <w:rPr>
          <w:rFonts w:ascii="inherit" w:eastAsia="Times New Roman" w:hAnsi="inherit" w:cs="Open Sans"/>
          <w:b/>
          <w:bCs/>
          <w:color w:val="003299"/>
          <w:kern w:val="0"/>
          <w:sz w:val="42"/>
          <w:szCs w:val="42"/>
          <w:lang w:eastAsia="de-AT"/>
          <w14:ligatures w14:val="none"/>
        </w:rPr>
        <w:t>Disinflationsprozess</w:t>
      </w:r>
      <w:proofErr w:type="spellEnd"/>
      <w:r w:rsidRPr="00D84BC6">
        <w:rPr>
          <w:rFonts w:ascii="inherit" w:eastAsia="Times New Roman" w:hAnsi="inherit" w:cs="Open Sans"/>
          <w:b/>
          <w:bCs/>
          <w:color w:val="003299"/>
          <w:kern w:val="0"/>
          <w:sz w:val="42"/>
          <w:szCs w:val="42"/>
          <w:lang w:eastAsia="de-AT"/>
          <w14:ligatures w14:val="none"/>
        </w:rPr>
        <w:t xml:space="preserve"> zum Scheitern bringen</w:t>
      </w:r>
    </w:p>
    <w:p w14:paraId="08982868" w14:textId="77777777" w:rsidR="00D84BC6" w:rsidRPr="00D84BC6" w:rsidRDefault="00D84BC6" w:rsidP="00D84BC6">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D84BC6">
        <w:rPr>
          <w:rFonts w:ascii="Open Sans" w:eastAsia="Times New Roman" w:hAnsi="Open Sans" w:cs="Open Sans"/>
          <w:color w:val="555555"/>
          <w:kern w:val="0"/>
          <w:sz w:val="30"/>
          <w:szCs w:val="30"/>
          <w:lang w:eastAsia="de-AT"/>
          <w14:ligatures w14:val="none"/>
        </w:rPr>
        <w:t xml:space="preserve">Damit komme ich zur zweiten Herausforderung, vor der die Geldpolitik auf der letzten Meile steht: Da sich die Desinflation spürbar verlangsamen wird, besteht ein hohes Risiko, dass ein neuer Schock die Inflation noch vor Erreichen wieder von unserem Ziel abzieht und die Inflationserwartungen sich </w:t>
      </w:r>
      <w:proofErr w:type="spellStart"/>
      <w:proofErr w:type="gramStart"/>
      <w:r w:rsidRPr="00D84BC6">
        <w:rPr>
          <w:rFonts w:ascii="Open Sans" w:eastAsia="Times New Roman" w:hAnsi="Open Sans" w:cs="Open Sans"/>
          <w:color w:val="555555"/>
          <w:kern w:val="0"/>
          <w:sz w:val="30"/>
          <w:szCs w:val="30"/>
          <w:lang w:eastAsia="de-AT"/>
          <w14:ligatures w14:val="none"/>
        </w:rPr>
        <w:t>entankern</w:t>
      </w:r>
      <w:proofErr w:type="spellEnd"/>
      <w:r w:rsidRPr="00D84BC6">
        <w:rPr>
          <w:rFonts w:ascii="Open Sans" w:eastAsia="Times New Roman" w:hAnsi="Open Sans" w:cs="Open Sans"/>
          <w:color w:val="555555"/>
          <w:kern w:val="0"/>
          <w:sz w:val="30"/>
          <w:szCs w:val="30"/>
          <w:lang w:eastAsia="de-AT"/>
          <w14:ligatures w14:val="none"/>
        </w:rPr>
        <w:t xml:space="preserve"> .</w:t>
      </w:r>
      <w:proofErr w:type="gramEnd"/>
    </w:p>
    <w:p w14:paraId="5052E5B6" w14:textId="77777777" w:rsidR="00D84BC6" w:rsidRPr="00D84BC6" w:rsidRDefault="00D84BC6" w:rsidP="00D84BC6">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D84BC6">
        <w:rPr>
          <w:rFonts w:ascii="Open Sans" w:eastAsia="Times New Roman" w:hAnsi="Open Sans" w:cs="Open Sans"/>
          <w:color w:val="555555"/>
          <w:kern w:val="0"/>
          <w:sz w:val="30"/>
          <w:szCs w:val="30"/>
          <w:lang w:eastAsia="de-AT"/>
          <w14:ligatures w14:val="none"/>
        </w:rPr>
        <w:t>Dies ist im aktuellen geopolitischen Umfeld besonders relevant.</w:t>
      </w:r>
    </w:p>
    <w:p w14:paraId="17435F58" w14:textId="77777777" w:rsidR="00D84BC6" w:rsidRPr="00D84BC6" w:rsidRDefault="00D84BC6" w:rsidP="00D84BC6">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D84BC6">
        <w:rPr>
          <w:rFonts w:ascii="Open Sans" w:eastAsia="Times New Roman" w:hAnsi="Open Sans" w:cs="Open Sans"/>
          <w:color w:val="555555"/>
          <w:kern w:val="0"/>
          <w:sz w:val="30"/>
          <w:szCs w:val="30"/>
          <w:lang w:eastAsia="de-AT"/>
          <w14:ligatures w14:val="none"/>
        </w:rPr>
        <w:t xml:space="preserve">Ein typisches Beispiel </w:t>
      </w:r>
      <w:proofErr w:type="gramStart"/>
      <w:r w:rsidRPr="00D84BC6">
        <w:rPr>
          <w:rFonts w:ascii="Open Sans" w:eastAsia="Times New Roman" w:hAnsi="Open Sans" w:cs="Open Sans"/>
          <w:color w:val="555555"/>
          <w:kern w:val="0"/>
          <w:sz w:val="30"/>
          <w:szCs w:val="30"/>
          <w:lang w:eastAsia="de-AT"/>
          <w14:ligatures w14:val="none"/>
        </w:rPr>
        <w:t>sind</w:t>
      </w:r>
      <w:proofErr w:type="gramEnd"/>
      <w:r w:rsidRPr="00D84BC6">
        <w:rPr>
          <w:rFonts w:ascii="Open Sans" w:eastAsia="Times New Roman" w:hAnsi="Open Sans" w:cs="Open Sans"/>
          <w:color w:val="555555"/>
          <w:kern w:val="0"/>
          <w:sz w:val="30"/>
          <w:szCs w:val="30"/>
          <w:lang w:eastAsia="de-AT"/>
          <w14:ligatures w14:val="none"/>
        </w:rPr>
        <w:t xml:space="preserve"> die tragischen Ereignisse im Nahen Osten, die durch den Terroranschlag auf Israel ausgelöst wurden. Die Öl- und Gaspreis-Futures stiegen deutlich an, was die Bedenken hinsichtlich der Versorgung nach dem jüngsten Gaspipeline-Leck in der Ostsee verstärkte. Generell haben wir in letzter Zeit eine zunehmende Sensibilität der Energiepreise gegenüber selbst entfernten Risiken wie Streiks in Flüssigerdgasanlagen in Australien beobachtet.</w:t>
      </w:r>
    </w:p>
    <w:p w14:paraId="0EAD7FD9" w14:textId="77777777" w:rsidR="00D84BC6" w:rsidRPr="00D84BC6" w:rsidRDefault="00D84BC6" w:rsidP="00D84BC6">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D84BC6">
        <w:rPr>
          <w:rFonts w:ascii="Open Sans" w:eastAsia="Times New Roman" w:hAnsi="Open Sans" w:cs="Open Sans"/>
          <w:color w:val="555555"/>
          <w:kern w:val="0"/>
          <w:sz w:val="30"/>
          <w:szCs w:val="30"/>
          <w:lang w:eastAsia="de-AT"/>
          <w14:ligatures w14:val="none"/>
        </w:rPr>
        <w:t>Solche Schocks können den Desinflationsprozess sichtbar stören. Im Vergleich zu Ende Juni sind die Ölpreise in Euro um 25 % gestiegen. Seitdem ist der Energiebeitrag zur Inflationsdynamik, definiert als die auf das Jahr hochgerechnete prozentuale Veränderung von drei Monaten gegenüber drei Monaten, messbar gestiegen (Folie 15, linke Seite). Während die Inflationsdynamik im Juli einer jährlichen Inflation von 2 % entsprach, lag sie im Oktober bei 4,4 %.</w:t>
      </w:r>
    </w:p>
    <w:p w14:paraId="310E693F" w14:textId="77777777" w:rsidR="00D84BC6" w:rsidRPr="00D84BC6" w:rsidRDefault="00D84BC6" w:rsidP="00D84BC6">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D84BC6">
        <w:rPr>
          <w:rFonts w:ascii="Open Sans" w:eastAsia="Times New Roman" w:hAnsi="Open Sans" w:cs="Open Sans"/>
          <w:color w:val="555555"/>
          <w:kern w:val="0"/>
          <w:sz w:val="30"/>
          <w:szCs w:val="30"/>
          <w:lang w:eastAsia="de-AT"/>
          <w14:ligatures w14:val="none"/>
        </w:rPr>
        <w:lastRenderedPageBreak/>
        <w:t>Weitere Schocks zeichnen sich bereits ab. Es wird erwartet, dass der diesjährige El Niño in Teilen der Welt monatelange extreme Hitze und Regenfälle mit sich bringt, was die Risiken der globalen Erwärmung verstärkt. Dies droht, die Erntezyklen zu stören und die globalen Lebensmittelmärkte noch stärker unter Druck zu setzen (Folie 15, rechte Seite).</w:t>
      </w:r>
    </w:p>
    <w:p w14:paraId="10E85F52" w14:textId="77777777" w:rsidR="00D84BC6" w:rsidRPr="00D84BC6" w:rsidRDefault="00D84BC6" w:rsidP="00D84BC6">
      <w:pPr>
        <w:spacing w:after="0" w:line="240" w:lineRule="auto"/>
        <w:textAlignment w:val="baseline"/>
        <w:rPr>
          <w:rFonts w:ascii="Open Sans" w:eastAsia="Times New Roman" w:hAnsi="Open Sans" w:cs="Open Sans"/>
          <w:color w:val="555555"/>
          <w:kern w:val="0"/>
          <w:sz w:val="30"/>
          <w:szCs w:val="30"/>
          <w:lang w:eastAsia="de-AT"/>
          <w14:ligatures w14:val="none"/>
        </w:rPr>
      </w:pPr>
      <w:r w:rsidRPr="00D84BC6">
        <w:rPr>
          <w:rFonts w:ascii="Open Sans" w:eastAsia="Times New Roman" w:hAnsi="Open Sans" w:cs="Open Sans"/>
          <w:color w:val="555555"/>
          <w:kern w:val="0"/>
          <w:sz w:val="30"/>
          <w:szCs w:val="30"/>
          <w:lang w:eastAsia="de-AT"/>
          <w14:ligatures w14:val="none"/>
        </w:rPr>
        <w:t>Durch die Verzögerung der Rückkehr der Inflation auf 2 % stellen solche negativen angebotsseitigen Schocks größere Risiken für die mittelfristige Preisstabilität dar als üblich, da sie mit größerer Wahrscheinlichkeit Verschiebungen der Inflationserwartungen auslösen.</w:t>
      </w:r>
      <w:r w:rsidRPr="00D84BC6">
        <w:rPr>
          <w:rFonts w:ascii="Open Sans" w:eastAsia="Times New Roman" w:hAnsi="Open Sans" w:cs="Open Sans"/>
          <w:color w:val="555555"/>
          <w:kern w:val="0"/>
          <w:sz w:val="21"/>
          <w:szCs w:val="21"/>
          <w:bdr w:val="none" w:sz="0" w:space="0" w:color="auto" w:frame="1"/>
          <w:vertAlign w:val="superscript"/>
          <w:lang w:eastAsia="de-AT"/>
          <w14:ligatures w14:val="none"/>
        </w:rPr>
        <w:t>[</w:t>
      </w:r>
      <w:hyperlink r:id="rId45" w:anchor="footnote.10" w:history="1">
        <w:r w:rsidRPr="00D84BC6">
          <w:rPr>
            <w:rFonts w:ascii="Open Sans" w:eastAsia="Times New Roman" w:hAnsi="Open Sans" w:cs="Open Sans"/>
            <w:color w:val="2B7AB6"/>
            <w:kern w:val="0"/>
            <w:sz w:val="21"/>
            <w:szCs w:val="21"/>
            <w:bdr w:val="none" w:sz="0" w:space="0" w:color="auto" w:frame="1"/>
            <w:lang w:eastAsia="de-AT"/>
            <w14:ligatures w14:val="none"/>
          </w:rPr>
          <w:t>10</w:t>
        </w:r>
      </w:hyperlink>
      <w:r w:rsidRPr="00D84BC6">
        <w:rPr>
          <w:rFonts w:ascii="Open Sans" w:eastAsia="Times New Roman" w:hAnsi="Open Sans" w:cs="Open Sans"/>
          <w:color w:val="555555"/>
          <w:kern w:val="0"/>
          <w:sz w:val="21"/>
          <w:szCs w:val="21"/>
          <w:bdr w:val="none" w:sz="0" w:space="0" w:color="auto" w:frame="1"/>
          <w:vertAlign w:val="superscript"/>
          <w:lang w:eastAsia="de-AT"/>
          <w14:ligatures w14:val="none"/>
        </w:rPr>
        <w:t>]</w:t>
      </w:r>
      <w:r w:rsidRPr="00D84BC6">
        <w:rPr>
          <w:rFonts w:ascii="Open Sans" w:eastAsia="Times New Roman" w:hAnsi="Open Sans" w:cs="Open Sans"/>
          <w:color w:val="555555"/>
          <w:kern w:val="0"/>
          <w:sz w:val="30"/>
          <w:szCs w:val="30"/>
          <w:lang w:eastAsia="de-AT"/>
          <w14:ligatures w14:val="none"/>
        </w:rPr>
        <w:t>Es ist bekannt, dass die Menschen der Inflation tendenziell wenig Aufmerksamkeit schenken, wenn sie niedrig und stabil ist. Die Theorie der rationalen Unaufmerksamkeit legt jedoch nahe, dass Unternehmen und Haushalte aufmerksam werden, wenn die Inflation hoch ist, wodurch die Preis- und Lohnbildung empfindlicher auf neue Preisschocks reagiert.</w:t>
      </w:r>
      <w:r w:rsidRPr="00D84BC6">
        <w:rPr>
          <w:rFonts w:ascii="Open Sans" w:eastAsia="Times New Roman" w:hAnsi="Open Sans" w:cs="Open Sans"/>
          <w:color w:val="555555"/>
          <w:kern w:val="0"/>
          <w:sz w:val="21"/>
          <w:szCs w:val="21"/>
          <w:bdr w:val="none" w:sz="0" w:space="0" w:color="auto" w:frame="1"/>
          <w:vertAlign w:val="superscript"/>
          <w:lang w:eastAsia="de-AT"/>
          <w14:ligatures w14:val="none"/>
        </w:rPr>
        <w:t>[</w:t>
      </w:r>
      <w:hyperlink r:id="rId46" w:anchor="footnote.11" w:history="1">
        <w:r w:rsidRPr="00D84BC6">
          <w:rPr>
            <w:rFonts w:ascii="Open Sans" w:eastAsia="Times New Roman" w:hAnsi="Open Sans" w:cs="Open Sans"/>
            <w:color w:val="2B7AB6"/>
            <w:kern w:val="0"/>
            <w:sz w:val="21"/>
            <w:szCs w:val="21"/>
            <w:bdr w:val="none" w:sz="0" w:space="0" w:color="auto" w:frame="1"/>
            <w:lang w:eastAsia="de-AT"/>
            <w14:ligatures w14:val="none"/>
          </w:rPr>
          <w:t>11</w:t>
        </w:r>
      </w:hyperlink>
      <w:r w:rsidRPr="00D84BC6">
        <w:rPr>
          <w:rFonts w:ascii="Open Sans" w:eastAsia="Times New Roman" w:hAnsi="Open Sans" w:cs="Open Sans"/>
          <w:color w:val="555555"/>
          <w:kern w:val="0"/>
          <w:sz w:val="21"/>
          <w:szCs w:val="21"/>
          <w:bdr w:val="none" w:sz="0" w:space="0" w:color="auto" w:frame="1"/>
          <w:vertAlign w:val="superscript"/>
          <w:lang w:eastAsia="de-AT"/>
          <w14:ligatures w14:val="none"/>
        </w:rPr>
        <w:t>]</w:t>
      </w:r>
      <w:r w:rsidRPr="00D84BC6">
        <w:rPr>
          <w:rFonts w:ascii="Open Sans" w:eastAsia="Times New Roman" w:hAnsi="Open Sans" w:cs="Open Sans"/>
          <w:color w:val="555555"/>
          <w:kern w:val="0"/>
          <w:sz w:val="30"/>
          <w:szCs w:val="30"/>
          <w:lang w:eastAsia="de-AT"/>
          <w14:ligatures w14:val="none"/>
        </w:rPr>
        <w:t>Dies gilt insbesondere dann, wenn solche Schocks wichtige Güter wie Energie und Nahrungsmittel betreffen.</w:t>
      </w:r>
    </w:p>
    <w:p w14:paraId="3D9D8091" w14:textId="77777777" w:rsidR="00D84BC6" w:rsidRPr="00D84BC6" w:rsidRDefault="00D84BC6" w:rsidP="00D84BC6">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D84BC6">
        <w:rPr>
          <w:rFonts w:ascii="Open Sans" w:eastAsia="Times New Roman" w:hAnsi="Open Sans" w:cs="Open Sans"/>
          <w:color w:val="555555"/>
          <w:kern w:val="0"/>
          <w:sz w:val="30"/>
          <w:szCs w:val="30"/>
          <w:lang w:eastAsia="de-AT"/>
          <w14:ligatures w14:val="none"/>
        </w:rPr>
        <w:t>Privatwirtschaftliche Akteure kalkulieren diese Risiken ein. Obwohl unsere entschlossenen geldpolitischen Entscheidungen die breite Verankerung der langfristigen Inflationserwartungen gesichert haben, deuten Umfragen und Finanzmarktpreise weiterhin auf Bedenken hin, dass die Inflation hoch bleiben könnte.</w:t>
      </w:r>
    </w:p>
    <w:p w14:paraId="5E5A01DB" w14:textId="77777777" w:rsidR="00D84BC6" w:rsidRPr="00D84BC6" w:rsidRDefault="00D84BC6" w:rsidP="00D84BC6">
      <w:pPr>
        <w:spacing w:after="0" w:line="240" w:lineRule="auto"/>
        <w:textAlignment w:val="baseline"/>
        <w:rPr>
          <w:rFonts w:ascii="Open Sans" w:eastAsia="Times New Roman" w:hAnsi="Open Sans" w:cs="Open Sans"/>
          <w:color w:val="555555"/>
          <w:kern w:val="0"/>
          <w:sz w:val="30"/>
          <w:szCs w:val="30"/>
          <w:lang w:eastAsia="de-AT"/>
          <w14:ligatures w14:val="none"/>
        </w:rPr>
      </w:pPr>
      <w:r w:rsidRPr="00D84BC6">
        <w:rPr>
          <w:rFonts w:ascii="Open Sans" w:eastAsia="Times New Roman" w:hAnsi="Open Sans" w:cs="Open Sans"/>
          <w:color w:val="555555"/>
          <w:kern w:val="0"/>
          <w:sz w:val="30"/>
          <w:szCs w:val="30"/>
          <w:lang w:eastAsia="de-AT"/>
          <w14:ligatures w14:val="none"/>
        </w:rPr>
        <w:t>Beispielsweise hat sich die Verteilung der längerfristigen Inflationserwartungen in unserer Umfrage unter professionellen Prognostikern im Vergleich zu den Zeiträumen vor und während der Pandemie deutlich nach rechts verschoben, obwohl sie weitgehend um unser Ziel herum verankert ist (Folie 16, linke Seite)</w:t>
      </w:r>
      <w:proofErr w:type="gramStart"/>
      <w:r w:rsidRPr="00D84BC6">
        <w:rPr>
          <w:rFonts w:ascii="Open Sans" w:eastAsia="Times New Roman" w:hAnsi="Open Sans" w:cs="Open Sans"/>
          <w:color w:val="555555"/>
          <w:kern w:val="0"/>
          <w:sz w:val="30"/>
          <w:szCs w:val="30"/>
          <w:lang w:eastAsia="de-AT"/>
          <w14:ligatures w14:val="none"/>
        </w:rPr>
        <w:t>. ,</w:t>
      </w:r>
      <w:proofErr w:type="gramEnd"/>
      <w:r w:rsidRPr="00D84BC6">
        <w:rPr>
          <w:rFonts w:ascii="Open Sans" w:eastAsia="Times New Roman" w:hAnsi="Open Sans" w:cs="Open Sans"/>
          <w:color w:val="555555"/>
          <w:kern w:val="0"/>
          <w:sz w:val="30"/>
          <w:szCs w:val="30"/>
          <w:lang w:eastAsia="de-AT"/>
          <w14:ligatures w14:val="none"/>
        </w:rPr>
        <w:t xml:space="preserve"> wobei die Risiken für die Inflationsaussichten nach oben </w:t>
      </w:r>
      <w:r w:rsidRPr="00D84BC6">
        <w:rPr>
          <w:rFonts w:ascii="Open Sans" w:eastAsia="Times New Roman" w:hAnsi="Open Sans" w:cs="Open Sans"/>
          <w:color w:val="555555"/>
          <w:kern w:val="0"/>
          <w:sz w:val="30"/>
          <w:szCs w:val="30"/>
          <w:lang w:eastAsia="de-AT"/>
          <w14:ligatures w14:val="none"/>
        </w:rPr>
        <w:lastRenderedPageBreak/>
        <w:t>tendieren. Ebenso bleiben die Risikoprämien am Swap-Markt für die Inflation weit in die Zukunft hinein erhöht (Folie 16, rechte Seite).</w:t>
      </w:r>
    </w:p>
    <w:p w14:paraId="3E061DD4" w14:textId="77777777" w:rsidR="00D84BC6" w:rsidRPr="00D84BC6" w:rsidRDefault="00D84BC6" w:rsidP="00D84BC6">
      <w:pPr>
        <w:spacing w:before="750" w:after="300" w:line="582" w:lineRule="atLeast"/>
        <w:textAlignment w:val="baseline"/>
        <w:outlineLvl w:val="1"/>
        <w:rPr>
          <w:rFonts w:ascii="inherit" w:eastAsia="Times New Roman" w:hAnsi="inherit" w:cs="Open Sans"/>
          <w:b/>
          <w:bCs/>
          <w:color w:val="003299"/>
          <w:kern w:val="0"/>
          <w:sz w:val="42"/>
          <w:szCs w:val="42"/>
          <w:lang w:eastAsia="de-AT"/>
          <w14:ligatures w14:val="none"/>
        </w:rPr>
      </w:pPr>
      <w:r w:rsidRPr="00D84BC6">
        <w:rPr>
          <w:rFonts w:ascii="inherit" w:eastAsia="Times New Roman" w:hAnsi="inherit" w:cs="Open Sans"/>
          <w:b/>
          <w:bCs/>
          <w:color w:val="003299"/>
          <w:kern w:val="0"/>
          <w:sz w:val="42"/>
          <w:szCs w:val="42"/>
          <w:lang w:eastAsia="de-AT"/>
          <w14:ligatures w14:val="none"/>
        </w:rPr>
        <w:t>Implikationen für die Geldpolitik</w:t>
      </w:r>
    </w:p>
    <w:p w14:paraId="0BB31DBE" w14:textId="77777777" w:rsidR="00D84BC6" w:rsidRPr="00D84BC6" w:rsidRDefault="00D84BC6" w:rsidP="00D84BC6">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D84BC6">
        <w:rPr>
          <w:rFonts w:ascii="Open Sans" w:eastAsia="Times New Roman" w:hAnsi="Open Sans" w:cs="Open Sans"/>
          <w:color w:val="555555"/>
          <w:kern w:val="0"/>
          <w:sz w:val="30"/>
          <w:szCs w:val="30"/>
          <w:lang w:eastAsia="de-AT"/>
          <w14:ligatures w14:val="none"/>
        </w:rPr>
        <w:t>Vor diesem Hintergrund und damit möchte ich zum Schluss kommen, scheint die Desinflation tatsächlich ein Langstreckenrennen zu sein. Wenn der Läufer die letzte Meile erreicht, beginnt die härteste Arbeit. Während die erste Phase des Rennens einfach schien, erfordert die letzte Meile Ausdauer und Wachsamkeit. Das Gleiche gilt für unseren Kampf gegen die Inflation.</w:t>
      </w:r>
    </w:p>
    <w:p w14:paraId="7188BFB0" w14:textId="77777777" w:rsidR="00D84BC6" w:rsidRPr="00D84BC6" w:rsidRDefault="00D84BC6" w:rsidP="00D84BC6">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D84BC6">
        <w:rPr>
          <w:rFonts w:ascii="Open Sans" w:eastAsia="Times New Roman" w:hAnsi="Open Sans" w:cs="Open Sans"/>
          <w:color w:val="555555"/>
          <w:kern w:val="0"/>
          <w:sz w:val="30"/>
          <w:szCs w:val="30"/>
          <w:lang w:eastAsia="de-AT"/>
          <w14:ligatures w14:val="none"/>
        </w:rPr>
        <w:t>Um den Sieg nicht zu früh zu verkünden, ist Durchhaltevermögen gefragt. Aufgrund unseres aktuellen geldpolitischen Kurses gehen wir davon aus, dass die Inflation bis 2025 zu unserem Ziel zurückkehren wird. Die Fortschritte bei der Inflation, die wir bisher gesehen haben, sind ermutigend und stehen im Einklang mit unseren Prognosen. Daher haben wir bei der geldpolitischen Sitzung letzte Woche beschlossen, unsere Leitzinsen unverändert zu lassen.</w:t>
      </w:r>
    </w:p>
    <w:p w14:paraId="262EAF96" w14:textId="77777777" w:rsidR="00D84BC6" w:rsidRPr="00D84BC6" w:rsidRDefault="00D84BC6" w:rsidP="00D84BC6">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D84BC6">
        <w:rPr>
          <w:rFonts w:ascii="Open Sans" w:eastAsia="Times New Roman" w:hAnsi="Open Sans" w:cs="Open Sans"/>
          <w:color w:val="555555"/>
          <w:kern w:val="0"/>
          <w:sz w:val="30"/>
          <w:szCs w:val="30"/>
          <w:lang w:eastAsia="de-AT"/>
          <w14:ligatures w14:val="none"/>
        </w:rPr>
        <w:t>Allerdings wird der Desinflationsprozess auf der letzten Meile unsicherer, langsamer und holpriger verlaufen. Daher ist weiterhin Wachsamkeit erforderlich. Nach einer langen Phase hoher Inflation sind die Inflationserwartungen fragil und erneute angebotsseitige Schocks können sie destabilisieren und die mittelfristige Preisstabilität gefährden. Das bedeutet auch, dass wir weiteren Zinserhöhungen nicht die Tür verschließen können.</w:t>
      </w:r>
    </w:p>
    <w:p w14:paraId="6812CFA7" w14:textId="77777777" w:rsidR="00D84BC6" w:rsidRPr="00D84BC6" w:rsidRDefault="00D84BC6" w:rsidP="00D84BC6">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D84BC6">
        <w:rPr>
          <w:rFonts w:ascii="Open Sans" w:eastAsia="Times New Roman" w:hAnsi="Open Sans" w:cs="Open Sans"/>
          <w:color w:val="555555"/>
          <w:kern w:val="0"/>
          <w:sz w:val="30"/>
          <w:szCs w:val="30"/>
          <w:lang w:eastAsia="de-AT"/>
          <w14:ligatures w14:val="none"/>
        </w:rPr>
        <w:lastRenderedPageBreak/>
        <w:t>Wenn wir wachsam bleiben, werden wir in der Lage sein, sich abzeichnende Risiken für die Inflationsaussichten frühzeitig zu erkennen, so wie die Läuferin auf die Signale ihres Körpers hört. Das bedeutet, dass wir alle eingehenden Daten sorgfältig überwachen und kontinuierlich überprüfen müssen, ob sie mit den Annahmen übereinstimmen, die unseren Prognosen zugrunde liegen.</w:t>
      </w:r>
    </w:p>
    <w:p w14:paraId="34B5226B" w14:textId="77777777" w:rsidR="00D84BC6" w:rsidRPr="00D84BC6" w:rsidRDefault="00D84BC6" w:rsidP="00D84BC6">
      <w:pPr>
        <w:spacing w:after="450" w:line="240" w:lineRule="auto"/>
        <w:textAlignment w:val="baseline"/>
        <w:rPr>
          <w:rFonts w:ascii="Open Sans" w:eastAsia="Times New Roman" w:hAnsi="Open Sans" w:cs="Open Sans"/>
          <w:color w:val="555555"/>
          <w:kern w:val="0"/>
          <w:sz w:val="30"/>
          <w:szCs w:val="30"/>
          <w:lang w:eastAsia="de-AT"/>
          <w14:ligatures w14:val="none"/>
        </w:rPr>
      </w:pPr>
      <w:r w:rsidRPr="00D84BC6">
        <w:rPr>
          <w:rFonts w:ascii="Open Sans" w:eastAsia="Times New Roman" w:hAnsi="Open Sans" w:cs="Open Sans"/>
          <w:color w:val="555555"/>
          <w:kern w:val="0"/>
          <w:sz w:val="30"/>
          <w:szCs w:val="30"/>
          <w:lang w:eastAsia="de-AT"/>
          <w14:ligatures w14:val="none"/>
        </w:rPr>
        <w:t>Die Datenabhängigkeit stellt sicher, dass unsere Geldpolitik jederzeit an die Umstände angepasst ist, mit denen wir konfrontiert sind. Das Inflationsziel ist jetzt in greifbarer Nähe, aber feiern wir erst, wenn wir die letzte Meile wirklich geschafft haben.</w:t>
      </w:r>
    </w:p>
    <w:p w14:paraId="23F63A2A" w14:textId="77777777" w:rsidR="00D84BC6" w:rsidRPr="00D84BC6" w:rsidRDefault="00D84BC6" w:rsidP="00D84BC6">
      <w:pPr>
        <w:spacing w:after="0" w:line="240" w:lineRule="auto"/>
        <w:textAlignment w:val="baseline"/>
        <w:rPr>
          <w:rFonts w:ascii="Open Sans" w:eastAsia="Times New Roman" w:hAnsi="Open Sans" w:cs="Open Sans"/>
          <w:color w:val="555555"/>
          <w:kern w:val="0"/>
          <w:sz w:val="30"/>
          <w:szCs w:val="30"/>
          <w:lang w:eastAsia="de-AT"/>
          <w14:ligatures w14:val="none"/>
        </w:rPr>
      </w:pPr>
      <w:r w:rsidRPr="00D84BC6">
        <w:rPr>
          <w:rFonts w:ascii="Open Sans" w:eastAsia="Times New Roman" w:hAnsi="Open Sans" w:cs="Open Sans"/>
          <w:color w:val="555555"/>
          <w:kern w:val="0"/>
          <w:sz w:val="30"/>
          <w:szCs w:val="30"/>
          <w:lang w:eastAsia="de-AT"/>
          <w14:ligatures w14:val="none"/>
        </w:rPr>
        <w:t>Danke schön.</w:t>
      </w:r>
    </w:p>
    <w:p w14:paraId="38222830" w14:textId="77777777" w:rsidR="00D84BC6" w:rsidRPr="00D84BC6" w:rsidRDefault="00D84BC6" w:rsidP="00D84BC6">
      <w:pPr>
        <w:shd w:val="clear" w:color="auto" w:fill="F1F1F1"/>
        <w:spacing w:after="150" w:line="450" w:lineRule="atLeast"/>
        <w:textAlignment w:val="baseline"/>
        <w:rPr>
          <w:rFonts w:ascii="Open Sans" w:eastAsia="Times New Roman" w:hAnsi="Open Sans" w:cs="Open Sans"/>
          <w:b/>
          <w:bCs/>
          <w:color w:val="555555"/>
          <w:kern w:val="0"/>
          <w:sz w:val="30"/>
          <w:szCs w:val="30"/>
          <w:lang w:eastAsia="de-AT"/>
          <w14:ligatures w14:val="none"/>
        </w:rPr>
      </w:pPr>
      <w:r w:rsidRPr="00D84BC6">
        <w:rPr>
          <w:rFonts w:ascii="Open Sans" w:eastAsia="Times New Roman" w:hAnsi="Open Sans" w:cs="Open Sans"/>
          <w:b/>
          <w:bCs/>
          <w:color w:val="555555"/>
          <w:kern w:val="0"/>
          <w:sz w:val="30"/>
          <w:szCs w:val="30"/>
          <w:lang w:eastAsia="de-AT"/>
          <w14:ligatures w14:val="none"/>
        </w:rPr>
        <w:t>Anhänge</w:t>
      </w:r>
    </w:p>
    <w:p w14:paraId="116C857E" w14:textId="77777777" w:rsidR="00D84BC6" w:rsidRPr="00D84BC6" w:rsidRDefault="00D84BC6" w:rsidP="00D84BC6">
      <w:pPr>
        <w:pBdr>
          <w:top w:val="single" w:sz="2" w:space="8" w:color="EEEEEE"/>
        </w:pBdr>
        <w:shd w:val="clear" w:color="auto" w:fill="FBFBFB"/>
        <w:spacing w:after="0" w:line="450" w:lineRule="atLeast"/>
        <w:textAlignment w:val="baseline"/>
        <w:rPr>
          <w:rFonts w:ascii="inherit" w:eastAsia="Times New Roman" w:hAnsi="inherit" w:cs="Open Sans"/>
          <w:color w:val="003299"/>
          <w:kern w:val="0"/>
          <w:sz w:val="30"/>
          <w:szCs w:val="30"/>
          <w:lang w:eastAsia="de-AT"/>
          <w14:ligatures w14:val="none"/>
        </w:rPr>
      </w:pPr>
      <w:r w:rsidRPr="00D84BC6">
        <w:rPr>
          <w:rFonts w:ascii="inherit" w:eastAsia="Times New Roman" w:hAnsi="inherit" w:cs="Open Sans"/>
          <w:color w:val="003299"/>
          <w:kern w:val="0"/>
          <w:sz w:val="30"/>
          <w:szCs w:val="30"/>
          <w:lang w:eastAsia="de-AT"/>
          <w14:ligatures w14:val="none"/>
        </w:rPr>
        <w:t>2. November 2023</w:t>
      </w:r>
    </w:p>
    <w:p w14:paraId="0B49F444" w14:textId="77777777" w:rsidR="00D84BC6" w:rsidRPr="00D84BC6" w:rsidRDefault="00337522" w:rsidP="00D84BC6">
      <w:pPr>
        <w:pBdr>
          <w:top w:val="single" w:sz="2" w:space="8" w:color="EEEEEE"/>
        </w:pBdr>
        <w:shd w:val="clear" w:color="auto" w:fill="FBFBFB"/>
        <w:spacing w:after="0" w:line="450" w:lineRule="atLeast"/>
        <w:ind w:left="720"/>
        <w:textAlignment w:val="baseline"/>
        <w:rPr>
          <w:rFonts w:ascii="inherit" w:eastAsia="Times New Roman" w:hAnsi="inherit" w:cs="Open Sans"/>
          <w:color w:val="555555"/>
          <w:kern w:val="0"/>
          <w:sz w:val="30"/>
          <w:szCs w:val="30"/>
          <w:lang w:eastAsia="de-AT"/>
          <w14:ligatures w14:val="none"/>
        </w:rPr>
      </w:pPr>
      <w:hyperlink r:id="rId47" w:history="1">
        <w:r w:rsidR="00D84BC6" w:rsidRPr="00D84BC6">
          <w:rPr>
            <w:rFonts w:ascii="inherit" w:eastAsia="Times New Roman" w:hAnsi="inherit" w:cs="Open Sans"/>
            <w:color w:val="328DD2"/>
            <w:kern w:val="0"/>
            <w:sz w:val="30"/>
            <w:szCs w:val="30"/>
            <w:bdr w:val="none" w:sz="0" w:space="0" w:color="auto" w:frame="1"/>
            <w:lang w:eastAsia="de-AT"/>
            <w14:ligatures w14:val="none"/>
          </w:rPr>
          <w:t>Folien</w:t>
        </w:r>
      </w:hyperlink>
    </w:p>
    <w:p w14:paraId="2F2C7EBD" w14:textId="77777777" w:rsidR="00D84BC6" w:rsidRPr="00D84BC6" w:rsidRDefault="00337522" w:rsidP="00D84BC6">
      <w:pPr>
        <w:pBdr>
          <w:top w:val="single" w:sz="2" w:space="8" w:color="EEEEEE"/>
        </w:pBdr>
        <w:shd w:val="clear" w:color="auto" w:fill="FBFBFB"/>
        <w:spacing w:line="340" w:lineRule="atLeast"/>
        <w:ind w:left="720"/>
        <w:textAlignment w:val="baseline"/>
        <w:rPr>
          <w:rFonts w:ascii="inherit" w:eastAsia="Times New Roman" w:hAnsi="inherit" w:cs="Open Sans"/>
          <w:color w:val="000000"/>
          <w:kern w:val="0"/>
          <w:sz w:val="21"/>
          <w:szCs w:val="21"/>
          <w:lang w:eastAsia="de-AT"/>
          <w14:ligatures w14:val="none"/>
        </w:rPr>
      </w:pPr>
      <w:hyperlink r:id="rId48" w:history="1">
        <w:r w:rsidR="00D84BC6" w:rsidRPr="00D84BC6">
          <w:rPr>
            <w:rFonts w:ascii="inherit" w:eastAsia="Times New Roman" w:hAnsi="inherit" w:cs="Open Sans"/>
            <w:caps/>
            <w:color w:val="000000"/>
            <w:kern w:val="0"/>
            <w:sz w:val="18"/>
            <w:szCs w:val="18"/>
            <w:bdr w:val="none" w:sz="0" w:space="0" w:color="auto" w:frame="1"/>
            <w:lang w:val="en" w:eastAsia="de-AT"/>
            <w14:ligatures w14:val="none"/>
          </w:rPr>
          <w:t>ENGLISCH</w:t>
        </w:r>
      </w:hyperlink>
    </w:p>
    <w:p w14:paraId="5906EEAD" w14:textId="77777777" w:rsidR="00D84BC6" w:rsidRPr="00D84BC6" w:rsidRDefault="00D84BC6" w:rsidP="00D84BC6">
      <w:pPr>
        <w:numPr>
          <w:ilvl w:val="0"/>
          <w:numId w:val="2"/>
        </w:numPr>
        <w:spacing w:after="0" w:line="388" w:lineRule="atLeast"/>
        <w:textAlignment w:val="baseline"/>
        <w:rPr>
          <w:rFonts w:ascii="Open Sans" w:eastAsia="Times New Roman" w:hAnsi="Open Sans" w:cs="Open Sans"/>
          <w:color w:val="555555"/>
          <w:kern w:val="0"/>
          <w:sz w:val="24"/>
          <w:szCs w:val="24"/>
          <w:lang w:eastAsia="de-AT"/>
          <w14:ligatures w14:val="none"/>
        </w:rPr>
      </w:pPr>
      <w:r w:rsidRPr="00D84BC6">
        <w:rPr>
          <w:rFonts w:ascii="Open Sans" w:eastAsia="Times New Roman" w:hAnsi="Open Sans" w:cs="Open Sans"/>
          <w:color w:val="555555"/>
          <w:kern w:val="0"/>
          <w:sz w:val="24"/>
          <w:szCs w:val="24"/>
          <w:lang w:eastAsia="de-AT"/>
          <w14:ligatures w14:val="none"/>
        </w:rPr>
        <w:t>Für eine Erläuterung der verschiedenen Auswirkungen der Ölpreise auf die Verbraucherpreise siehe EZB (2014), „ </w:t>
      </w:r>
      <w:hyperlink r:id="rId49" w:history="1">
        <w:r w:rsidRPr="00D84BC6">
          <w:rPr>
            <w:rFonts w:ascii="Open Sans" w:eastAsia="Times New Roman" w:hAnsi="Open Sans" w:cs="Open Sans"/>
            <w:color w:val="2B7AB6"/>
            <w:kern w:val="0"/>
            <w:sz w:val="24"/>
            <w:szCs w:val="24"/>
            <w:bdr w:val="none" w:sz="0" w:space="0" w:color="auto" w:frame="1"/>
            <w:lang w:eastAsia="de-AT"/>
            <w14:ligatures w14:val="none"/>
          </w:rPr>
          <w:t>Indirekte Auswirkungen der Ölpreisentwicklung auf die Inflation im Euroraum</w:t>
        </w:r>
      </w:hyperlink>
      <w:r w:rsidRPr="00D84BC6">
        <w:rPr>
          <w:rFonts w:ascii="Open Sans" w:eastAsia="Times New Roman" w:hAnsi="Open Sans" w:cs="Open Sans"/>
          <w:color w:val="555555"/>
          <w:kern w:val="0"/>
          <w:sz w:val="24"/>
          <w:szCs w:val="24"/>
          <w:lang w:eastAsia="de-AT"/>
          <w14:ligatures w14:val="none"/>
        </w:rPr>
        <w:t> “, </w:t>
      </w:r>
      <w:proofErr w:type="gramStart"/>
      <w:r w:rsidRPr="00D84BC6">
        <w:rPr>
          <w:rFonts w:ascii="inherit" w:eastAsia="Times New Roman" w:hAnsi="inherit" w:cs="Open Sans"/>
          <w:i/>
          <w:iCs/>
          <w:color w:val="555555"/>
          <w:kern w:val="0"/>
          <w:sz w:val="24"/>
          <w:szCs w:val="24"/>
          <w:bdr w:val="none" w:sz="0" w:space="0" w:color="auto" w:frame="1"/>
          <w:lang w:eastAsia="de-AT"/>
          <w14:ligatures w14:val="none"/>
        </w:rPr>
        <w:t>Monatsbericht</w:t>
      </w:r>
      <w:r w:rsidRPr="00D84BC6">
        <w:rPr>
          <w:rFonts w:ascii="Open Sans" w:eastAsia="Times New Roman" w:hAnsi="Open Sans" w:cs="Open Sans"/>
          <w:color w:val="555555"/>
          <w:kern w:val="0"/>
          <w:sz w:val="24"/>
          <w:szCs w:val="24"/>
          <w:lang w:eastAsia="de-AT"/>
          <w14:ligatures w14:val="none"/>
        </w:rPr>
        <w:t> ,</w:t>
      </w:r>
      <w:proofErr w:type="gramEnd"/>
      <w:r w:rsidRPr="00D84BC6">
        <w:rPr>
          <w:rFonts w:ascii="Open Sans" w:eastAsia="Times New Roman" w:hAnsi="Open Sans" w:cs="Open Sans"/>
          <w:color w:val="555555"/>
          <w:kern w:val="0"/>
          <w:sz w:val="24"/>
          <w:szCs w:val="24"/>
          <w:lang w:eastAsia="de-AT"/>
          <w14:ligatures w14:val="none"/>
        </w:rPr>
        <w:t xml:space="preserve"> Dezember.</w:t>
      </w:r>
    </w:p>
    <w:p w14:paraId="79FF50C4" w14:textId="77777777" w:rsidR="00D84BC6" w:rsidRPr="00D84BC6" w:rsidRDefault="00D84BC6" w:rsidP="00D84BC6">
      <w:pPr>
        <w:numPr>
          <w:ilvl w:val="0"/>
          <w:numId w:val="2"/>
        </w:numPr>
        <w:spacing w:after="0" w:line="388" w:lineRule="atLeast"/>
        <w:textAlignment w:val="baseline"/>
        <w:rPr>
          <w:rFonts w:ascii="Open Sans" w:eastAsia="Times New Roman" w:hAnsi="Open Sans" w:cs="Open Sans"/>
          <w:color w:val="555555"/>
          <w:kern w:val="0"/>
          <w:sz w:val="24"/>
          <w:szCs w:val="24"/>
          <w:lang w:eastAsia="de-AT"/>
          <w14:ligatures w14:val="none"/>
        </w:rPr>
      </w:pPr>
      <w:r w:rsidRPr="00D84BC6">
        <w:rPr>
          <w:rFonts w:ascii="Open Sans" w:eastAsia="Times New Roman" w:hAnsi="Open Sans" w:cs="Open Sans"/>
          <w:color w:val="555555"/>
          <w:kern w:val="0"/>
          <w:sz w:val="24"/>
          <w:szCs w:val="24"/>
          <w:lang w:eastAsia="de-AT"/>
          <w14:ligatures w14:val="none"/>
        </w:rPr>
        <w:t xml:space="preserve">Auch die Gesamtinflation ging im Zuge des „rohen“ Schocks im Jahr 2014 stark zurück. Siehe auch </w:t>
      </w:r>
      <w:proofErr w:type="spellStart"/>
      <w:r w:rsidRPr="00D84BC6">
        <w:rPr>
          <w:rFonts w:ascii="Open Sans" w:eastAsia="Times New Roman" w:hAnsi="Open Sans" w:cs="Open Sans"/>
          <w:color w:val="555555"/>
          <w:kern w:val="0"/>
          <w:sz w:val="24"/>
          <w:szCs w:val="24"/>
          <w:lang w:eastAsia="de-AT"/>
          <w14:ligatures w14:val="none"/>
        </w:rPr>
        <w:t>Grigoli</w:t>
      </w:r>
      <w:proofErr w:type="spellEnd"/>
      <w:r w:rsidRPr="00D84BC6">
        <w:rPr>
          <w:rFonts w:ascii="Open Sans" w:eastAsia="Times New Roman" w:hAnsi="Open Sans" w:cs="Open Sans"/>
          <w:color w:val="555555"/>
          <w:kern w:val="0"/>
          <w:sz w:val="24"/>
          <w:szCs w:val="24"/>
          <w:lang w:eastAsia="de-AT"/>
          <w14:ligatures w14:val="none"/>
        </w:rPr>
        <w:t>, F. et al. (2017), „ </w:t>
      </w:r>
      <w:hyperlink r:id="rId50" w:history="1">
        <w:r w:rsidRPr="00D84BC6">
          <w:rPr>
            <w:rFonts w:ascii="Open Sans" w:eastAsia="Times New Roman" w:hAnsi="Open Sans" w:cs="Open Sans"/>
            <w:color w:val="2B7AB6"/>
            <w:kern w:val="0"/>
            <w:sz w:val="24"/>
            <w:szCs w:val="24"/>
            <w:bdr w:val="none" w:sz="0" w:space="0" w:color="auto" w:frame="1"/>
            <w:lang w:eastAsia="de-AT"/>
            <w14:ligatures w14:val="none"/>
          </w:rPr>
          <w:t xml:space="preserve">A </w:t>
        </w:r>
        <w:proofErr w:type="spellStart"/>
        <w:r w:rsidRPr="00D84BC6">
          <w:rPr>
            <w:rFonts w:ascii="Open Sans" w:eastAsia="Times New Roman" w:hAnsi="Open Sans" w:cs="Open Sans"/>
            <w:color w:val="2B7AB6"/>
            <w:kern w:val="0"/>
            <w:sz w:val="24"/>
            <w:szCs w:val="24"/>
            <w:bdr w:val="none" w:sz="0" w:space="0" w:color="auto" w:frame="1"/>
            <w:lang w:eastAsia="de-AT"/>
            <w14:ligatures w14:val="none"/>
          </w:rPr>
          <w:t>Crude</w:t>
        </w:r>
        <w:proofErr w:type="spellEnd"/>
        <w:r w:rsidRPr="00D84BC6">
          <w:rPr>
            <w:rFonts w:ascii="Open Sans" w:eastAsia="Times New Roman" w:hAnsi="Open Sans" w:cs="Open Sans"/>
            <w:color w:val="2B7AB6"/>
            <w:kern w:val="0"/>
            <w:sz w:val="24"/>
            <w:szCs w:val="24"/>
            <w:bdr w:val="none" w:sz="0" w:space="0" w:color="auto" w:frame="1"/>
            <w:lang w:eastAsia="de-AT"/>
            <w14:ligatures w14:val="none"/>
          </w:rPr>
          <w:t xml:space="preserve"> Shock: </w:t>
        </w:r>
        <w:proofErr w:type="spellStart"/>
        <w:r w:rsidRPr="00D84BC6">
          <w:rPr>
            <w:rFonts w:ascii="Open Sans" w:eastAsia="Times New Roman" w:hAnsi="Open Sans" w:cs="Open Sans"/>
            <w:color w:val="2B7AB6"/>
            <w:kern w:val="0"/>
            <w:sz w:val="24"/>
            <w:szCs w:val="24"/>
            <w:bdr w:val="none" w:sz="0" w:space="0" w:color="auto" w:frame="1"/>
            <w:lang w:eastAsia="de-AT"/>
            <w14:ligatures w14:val="none"/>
          </w:rPr>
          <w:t>Explaining</w:t>
        </w:r>
        <w:proofErr w:type="spellEnd"/>
        <w:r w:rsidRPr="00D84BC6">
          <w:rPr>
            <w:rFonts w:ascii="Open Sans" w:eastAsia="Times New Roman" w:hAnsi="Open Sans" w:cs="Open Sans"/>
            <w:color w:val="2B7AB6"/>
            <w:kern w:val="0"/>
            <w:sz w:val="24"/>
            <w:szCs w:val="24"/>
            <w:bdr w:val="none" w:sz="0" w:space="0" w:color="auto" w:frame="1"/>
            <w:lang w:eastAsia="de-AT"/>
            <w14:ligatures w14:val="none"/>
          </w:rPr>
          <w:t xml:space="preserve"> </w:t>
        </w:r>
        <w:proofErr w:type="spellStart"/>
        <w:r w:rsidRPr="00D84BC6">
          <w:rPr>
            <w:rFonts w:ascii="Open Sans" w:eastAsia="Times New Roman" w:hAnsi="Open Sans" w:cs="Open Sans"/>
            <w:color w:val="2B7AB6"/>
            <w:kern w:val="0"/>
            <w:sz w:val="24"/>
            <w:szCs w:val="24"/>
            <w:bdr w:val="none" w:sz="0" w:space="0" w:color="auto" w:frame="1"/>
            <w:lang w:eastAsia="de-AT"/>
            <w14:ligatures w14:val="none"/>
          </w:rPr>
          <w:t>the</w:t>
        </w:r>
        <w:proofErr w:type="spellEnd"/>
        <w:r w:rsidRPr="00D84BC6">
          <w:rPr>
            <w:rFonts w:ascii="Open Sans" w:eastAsia="Times New Roman" w:hAnsi="Open Sans" w:cs="Open Sans"/>
            <w:color w:val="2B7AB6"/>
            <w:kern w:val="0"/>
            <w:sz w:val="24"/>
            <w:szCs w:val="24"/>
            <w:bdr w:val="none" w:sz="0" w:space="0" w:color="auto" w:frame="1"/>
            <w:lang w:eastAsia="de-AT"/>
            <w14:ligatures w14:val="none"/>
          </w:rPr>
          <w:t xml:space="preserve"> Impact </w:t>
        </w:r>
        <w:proofErr w:type="spellStart"/>
        <w:r w:rsidRPr="00D84BC6">
          <w:rPr>
            <w:rFonts w:ascii="Open Sans" w:eastAsia="Times New Roman" w:hAnsi="Open Sans" w:cs="Open Sans"/>
            <w:color w:val="2B7AB6"/>
            <w:kern w:val="0"/>
            <w:sz w:val="24"/>
            <w:szCs w:val="24"/>
            <w:bdr w:val="none" w:sz="0" w:space="0" w:color="auto" w:frame="1"/>
            <w:lang w:eastAsia="de-AT"/>
            <w14:ligatures w14:val="none"/>
          </w:rPr>
          <w:t>of</w:t>
        </w:r>
        <w:proofErr w:type="spellEnd"/>
        <w:r w:rsidRPr="00D84BC6">
          <w:rPr>
            <w:rFonts w:ascii="Open Sans" w:eastAsia="Times New Roman" w:hAnsi="Open Sans" w:cs="Open Sans"/>
            <w:color w:val="2B7AB6"/>
            <w:kern w:val="0"/>
            <w:sz w:val="24"/>
            <w:szCs w:val="24"/>
            <w:bdr w:val="none" w:sz="0" w:space="0" w:color="auto" w:frame="1"/>
            <w:lang w:eastAsia="de-AT"/>
            <w14:ligatures w14:val="none"/>
          </w:rPr>
          <w:t xml:space="preserve"> </w:t>
        </w:r>
        <w:proofErr w:type="spellStart"/>
        <w:r w:rsidRPr="00D84BC6">
          <w:rPr>
            <w:rFonts w:ascii="Open Sans" w:eastAsia="Times New Roman" w:hAnsi="Open Sans" w:cs="Open Sans"/>
            <w:color w:val="2B7AB6"/>
            <w:kern w:val="0"/>
            <w:sz w:val="24"/>
            <w:szCs w:val="24"/>
            <w:bdr w:val="none" w:sz="0" w:space="0" w:color="auto" w:frame="1"/>
            <w:lang w:eastAsia="de-AT"/>
            <w14:ligatures w14:val="none"/>
          </w:rPr>
          <w:t>the</w:t>
        </w:r>
        <w:proofErr w:type="spellEnd"/>
        <w:r w:rsidRPr="00D84BC6">
          <w:rPr>
            <w:rFonts w:ascii="Open Sans" w:eastAsia="Times New Roman" w:hAnsi="Open Sans" w:cs="Open Sans"/>
            <w:color w:val="2B7AB6"/>
            <w:kern w:val="0"/>
            <w:sz w:val="24"/>
            <w:szCs w:val="24"/>
            <w:bdr w:val="none" w:sz="0" w:space="0" w:color="auto" w:frame="1"/>
            <w:lang w:eastAsia="de-AT"/>
            <w14:ligatures w14:val="none"/>
          </w:rPr>
          <w:t xml:space="preserve"> 2014-16 Oil Price </w:t>
        </w:r>
        <w:proofErr w:type="spellStart"/>
        <w:r w:rsidRPr="00D84BC6">
          <w:rPr>
            <w:rFonts w:ascii="Open Sans" w:eastAsia="Times New Roman" w:hAnsi="Open Sans" w:cs="Open Sans"/>
            <w:color w:val="2B7AB6"/>
            <w:kern w:val="0"/>
            <w:sz w:val="24"/>
            <w:szCs w:val="24"/>
            <w:bdr w:val="none" w:sz="0" w:space="0" w:color="auto" w:frame="1"/>
            <w:lang w:eastAsia="de-AT"/>
            <w14:ligatures w14:val="none"/>
          </w:rPr>
          <w:t>Decline</w:t>
        </w:r>
        <w:proofErr w:type="spellEnd"/>
        <w:r w:rsidRPr="00D84BC6">
          <w:rPr>
            <w:rFonts w:ascii="Open Sans" w:eastAsia="Times New Roman" w:hAnsi="Open Sans" w:cs="Open Sans"/>
            <w:color w:val="2B7AB6"/>
            <w:kern w:val="0"/>
            <w:sz w:val="24"/>
            <w:szCs w:val="24"/>
            <w:bdr w:val="none" w:sz="0" w:space="0" w:color="auto" w:frame="1"/>
            <w:lang w:eastAsia="de-AT"/>
            <w14:ligatures w14:val="none"/>
          </w:rPr>
          <w:t xml:space="preserve"> </w:t>
        </w:r>
        <w:proofErr w:type="spellStart"/>
        <w:r w:rsidRPr="00D84BC6">
          <w:rPr>
            <w:rFonts w:ascii="Open Sans" w:eastAsia="Times New Roman" w:hAnsi="Open Sans" w:cs="Open Sans"/>
            <w:color w:val="2B7AB6"/>
            <w:kern w:val="0"/>
            <w:sz w:val="24"/>
            <w:szCs w:val="24"/>
            <w:bdr w:val="none" w:sz="0" w:space="0" w:color="auto" w:frame="1"/>
            <w:lang w:eastAsia="de-AT"/>
            <w14:ligatures w14:val="none"/>
          </w:rPr>
          <w:t>Across</w:t>
        </w:r>
        <w:proofErr w:type="spellEnd"/>
        <w:r w:rsidRPr="00D84BC6">
          <w:rPr>
            <w:rFonts w:ascii="Open Sans" w:eastAsia="Times New Roman" w:hAnsi="Open Sans" w:cs="Open Sans"/>
            <w:color w:val="2B7AB6"/>
            <w:kern w:val="0"/>
            <w:sz w:val="24"/>
            <w:szCs w:val="24"/>
            <w:bdr w:val="none" w:sz="0" w:space="0" w:color="auto" w:frame="1"/>
            <w:lang w:eastAsia="de-AT"/>
            <w14:ligatures w14:val="none"/>
          </w:rPr>
          <w:t xml:space="preserve"> </w:t>
        </w:r>
        <w:proofErr w:type="spellStart"/>
        <w:r w:rsidRPr="00D84BC6">
          <w:rPr>
            <w:rFonts w:ascii="Open Sans" w:eastAsia="Times New Roman" w:hAnsi="Open Sans" w:cs="Open Sans"/>
            <w:color w:val="2B7AB6"/>
            <w:kern w:val="0"/>
            <w:sz w:val="24"/>
            <w:szCs w:val="24"/>
            <w:bdr w:val="none" w:sz="0" w:space="0" w:color="auto" w:frame="1"/>
            <w:lang w:eastAsia="de-AT"/>
            <w14:ligatures w14:val="none"/>
          </w:rPr>
          <w:t>Exporters</w:t>
        </w:r>
        <w:proofErr w:type="spellEnd"/>
      </w:hyperlink>
      <w:r w:rsidRPr="00D84BC6">
        <w:rPr>
          <w:rFonts w:ascii="Open Sans" w:eastAsia="Times New Roman" w:hAnsi="Open Sans" w:cs="Open Sans"/>
          <w:color w:val="555555"/>
          <w:kern w:val="0"/>
          <w:sz w:val="24"/>
          <w:szCs w:val="24"/>
          <w:lang w:eastAsia="de-AT"/>
          <w14:ligatures w14:val="none"/>
        </w:rPr>
        <w:t> “, </w:t>
      </w:r>
      <w:r w:rsidRPr="00D84BC6">
        <w:rPr>
          <w:rFonts w:ascii="inherit" w:eastAsia="Times New Roman" w:hAnsi="inherit" w:cs="Open Sans"/>
          <w:i/>
          <w:iCs/>
          <w:color w:val="555555"/>
          <w:kern w:val="0"/>
          <w:sz w:val="24"/>
          <w:szCs w:val="24"/>
          <w:bdr w:val="none" w:sz="0" w:space="0" w:color="auto" w:frame="1"/>
          <w:lang w:eastAsia="de-AT"/>
          <w14:ligatures w14:val="none"/>
        </w:rPr>
        <w:t>IWF Working Papers</w:t>
      </w:r>
      <w:r w:rsidRPr="00D84BC6">
        <w:rPr>
          <w:rFonts w:ascii="Open Sans" w:eastAsia="Times New Roman" w:hAnsi="Open Sans" w:cs="Open Sans"/>
          <w:color w:val="555555"/>
          <w:kern w:val="0"/>
          <w:sz w:val="24"/>
          <w:szCs w:val="24"/>
          <w:lang w:eastAsia="de-AT"/>
          <w14:ligatures w14:val="none"/>
        </w:rPr>
        <w:t> , Nr. 2017/160, IWF, 18. Juli.</w:t>
      </w:r>
    </w:p>
    <w:p w14:paraId="52CA5AF3" w14:textId="77777777" w:rsidR="00D84BC6" w:rsidRPr="00D84BC6" w:rsidRDefault="00D84BC6" w:rsidP="00D84BC6">
      <w:pPr>
        <w:numPr>
          <w:ilvl w:val="0"/>
          <w:numId w:val="2"/>
        </w:numPr>
        <w:spacing w:after="0" w:line="388" w:lineRule="atLeast"/>
        <w:textAlignment w:val="baseline"/>
        <w:rPr>
          <w:rFonts w:ascii="Open Sans" w:eastAsia="Times New Roman" w:hAnsi="Open Sans" w:cs="Open Sans"/>
          <w:color w:val="555555"/>
          <w:kern w:val="0"/>
          <w:sz w:val="24"/>
          <w:szCs w:val="24"/>
          <w:lang w:eastAsia="de-AT"/>
          <w14:ligatures w14:val="none"/>
        </w:rPr>
      </w:pPr>
      <w:r w:rsidRPr="00D84BC6">
        <w:rPr>
          <w:rFonts w:ascii="Open Sans" w:eastAsia="Times New Roman" w:hAnsi="Open Sans" w:cs="Open Sans"/>
          <w:color w:val="555555"/>
          <w:kern w:val="0"/>
          <w:sz w:val="24"/>
          <w:szCs w:val="24"/>
          <w:lang w:eastAsia="de-AT"/>
          <w14:ligatures w14:val="none"/>
        </w:rPr>
        <w:t>Ari, A. et al. (2023), „ </w:t>
      </w:r>
      <w:proofErr w:type="spellStart"/>
      <w:r w:rsidRPr="00D84BC6">
        <w:rPr>
          <w:rFonts w:ascii="Open Sans" w:eastAsia="Times New Roman" w:hAnsi="Open Sans" w:cs="Open Sans"/>
          <w:color w:val="555555"/>
          <w:kern w:val="0"/>
          <w:sz w:val="24"/>
          <w:szCs w:val="24"/>
          <w:lang w:eastAsia="de-AT"/>
          <w14:ligatures w14:val="none"/>
        </w:rPr>
        <w:fldChar w:fldCharType="begin"/>
      </w:r>
      <w:r w:rsidRPr="00D84BC6">
        <w:rPr>
          <w:rFonts w:ascii="Open Sans" w:eastAsia="Times New Roman" w:hAnsi="Open Sans" w:cs="Open Sans"/>
          <w:color w:val="555555"/>
          <w:kern w:val="0"/>
          <w:sz w:val="24"/>
          <w:szCs w:val="24"/>
          <w:lang w:eastAsia="de-AT"/>
          <w14:ligatures w14:val="none"/>
        </w:rPr>
        <w:instrText>HYPERLINK "https://www.imf.org/en/Publications/WP/Issues/2023/09/13/One-Hundred-Inflation-Shocks-Seven-Stylized-Facts-539159"</w:instrText>
      </w:r>
      <w:r w:rsidRPr="00D84BC6">
        <w:rPr>
          <w:rFonts w:ascii="Open Sans" w:eastAsia="Times New Roman" w:hAnsi="Open Sans" w:cs="Open Sans"/>
          <w:color w:val="555555"/>
          <w:kern w:val="0"/>
          <w:sz w:val="24"/>
          <w:szCs w:val="24"/>
          <w:lang w:eastAsia="de-AT"/>
          <w14:ligatures w14:val="none"/>
        </w:rPr>
      </w:r>
      <w:r w:rsidRPr="00D84BC6">
        <w:rPr>
          <w:rFonts w:ascii="Open Sans" w:eastAsia="Times New Roman" w:hAnsi="Open Sans" w:cs="Open Sans"/>
          <w:color w:val="555555"/>
          <w:kern w:val="0"/>
          <w:sz w:val="24"/>
          <w:szCs w:val="24"/>
          <w:lang w:eastAsia="de-AT"/>
          <w14:ligatures w14:val="none"/>
        </w:rPr>
        <w:fldChar w:fldCharType="separate"/>
      </w:r>
      <w:r w:rsidRPr="00D84BC6">
        <w:rPr>
          <w:rFonts w:ascii="Open Sans" w:eastAsia="Times New Roman" w:hAnsi="Open Sans" w:cs="Open Sans"/>
          <w:color w:val="2B7AB6"/>
          <w:kern w:val="0"/>
          <w:sz w:val="24"/>
          <w:szCs w:val="24"/>
          <w:bdr w:val="none" w:sz="0" w:space="0" w:color="auto" w:frame="1"/>
          <w:lang w:eastAsia="de-AT"/>
          <w14:ligatures w14:val="none"/>
        </w:rPr>
        <w:t>One</w:t>
      </w:r>
      <w:proofErr w:type="spellEnd"/>
      <w:r w:rsidRPr="00D84BC6">
        <w:rPr>
          <w:rFonts w:ascii="Open Sans" w:eastAsia="Times New Roman" w:hAnsi="Open Sans" w:cs="Open Sans"/>
          <w:color w:val="2B7AB6"/>
          <w:kern w:val="0"/>
          <w:sz w:val="24"/>
          <w:szCs w:val="24"/>
          <w:bdr w:val="none" w:sz="0" w:space="0" w:color="auto" w:frame="1"/>
          <w:lang w:eastAsia="de-AT"/>
          <w14:ligatures w14:val="none"/>
        </w:rPr>
        <w:t xml:space="preserve"> </w:t>
      </w:r>
      <w:proofErr w:type="spellStart"/>
      <w:r w:rsidRPr="00D84BC6">
        <w:rPr>
          <w:rFonts w:ascii="Open Sans" w:eastAsia="Times New Roman" w:hAnsi="Open Sans" w:cs="Open Sans"/>
          <w:color w:val="2B7AB6"/>
          <w:kern w:val="0"/>
          <w:sz w:val="24"/>
          <w:szCs w:val="24"/>
          <w:bdr w:val="none" w:sz="0" w:space="0" w:color="auto" w:frame="1"/>
          <w:lang w:eastAsia="de-AT"/>
          <w14:ligatures w14:val="none"/>
        </w:rPr>
        <w:t>Hundred</w:t>
      </w:r>
      <w:proofErr w:type="spellEnd"/>
      <w:r w:rsidRPr="00D84BC6">
        <w:rPr>
          <w:rFonts w:ascii="Open Sans" w:eastAsia="Times New Roman" w:hAnsi="Open Sans" w:cs="Open Sans"/>
          <w:color w:val="2B7AB6"/>
          <w:kern w:val="0"/>
          <w:sz w:val="24"/>
          <w:szCs w:val="24"/>
          <w:bdr w:val="none" w:sz="0" w:space="0" w:color="auto" w:frame="1"/>
          <w:lang w:eastAsia="de-AT"/>
          <w14:ligatures w14:val="none"/>
        </w:rPr>
        <w:t xml:space="preserve"> Inflation Shocks: Seven </w:t>
      </w:r>
      <w:proofErr w:type="spellStart"/>
      <w:r w:rsidRPr="00D84BC6">
        <w:rPr>
          <w:rFonts w:ascii="Open Sans" w:eastAsia="Times New Roman" w:hAnsi="Open Sans" w:cs="Open Sans"/>
          <w:color w:val="2B7AB6"/>
          <w:kern w:val="0"/>
          <w:sz w:val="24"/>
          <w:szCs w:val="24"/>
          <w:bdr w:val="none" w:sz="0" w:space="0" w:color="auto" w:frame="1"/>
          <w:lang w:eastAsia="de-AT"/>
          <w14:ligatures w14:val="none"/>
        </w:rPr>
        <w:t>Stylized</w:t>
      </w:r>
      <w:proofErr w:type="spellEnd"/>
      <w:r w:rsidRPr="00D84BC6">
        <w:rPr>
          <w:rFonts w:ascii="Open Sans" w:eastAsia="Times New Roman" w:hAnsi="Open Sans" w:cs="Open Sans"/>
          <w:color w:val="2B7AB6"/>
          <w:kern w:val="0"/>
          <w:sz w:val="24"/>
          <w:szCs w:val="24"/>
          <w:bdr w:val="none" w:sz="0" w:space="0" w:color="auto" w:frame="1"/>
          <w:lang w:eastAsia="de-AT"/>
          <w14:ligatures w14:val="none"/>
        </w:rPr>
        <w:t xml:space="preserve"> Facts</w:t>
      </w:r>
      <w:r w:rsidRPr="00D84BC6">
        <w:rPr>
          <w:rFonts w:ascii="Open Sans" w:eastAsia="Times New Roman" w:hAnsi="Open Sans" w:cs="Open Sans"/>
          <w:color w:val="555555"/>
          <w:kern w:val="0"/>
          <w:sz w:val="24"/>
          <w:szCs w:val="24"/>
          <w:lang w:eastAsia="de-AT"/>
          <w14:ligatures w14:val="none"/>
        </w:rPr>
        <w:fldChar w:fldCharType="end"/>
      </w:r>
      <w:r w:rsidRPr="00D84BC6">
        <w:rPr>
          <w:rFonts w:ascii="Open Sans" w:eastAsia="Times New Roman" w:hAnsi="Open Sans" w:cs="Open Sans"/>
          <w:color w:val="555555"/>
          <w:kern w:val="0"/>
          <w:sz w:val="24"/>
          <w:szCs w:val="24"/>
          <w:lang w:eastAsia="de-AT"/>
          <w14:ligatures w14:val="none"/>
        </w:rPr>
        <w:t> “, </w:t>
      </w:r>
      <w:r w:rsidRPr="00D84BC6">
        <w:rPr>
          <w:rFonts w:ascii="inherit" w:eastAsia="Times New Roman" w:hAnsi="inherit" w:cs="Open Sans"/>
          <w:i/>
          <w:iCs/>
          <w:color w:val="555555"/>
          <w:kern w:val="0"/>
          <w:sz w:val="24"/>
          <w:szCs w:val="24"/>
          <w:bdr w:val="none" w:sz="0" w:space="0" w:color="auto" w:frame="1"/>
          <w:lang w:eastAsia="de-AT"/>
          <w14:ligatures w14:val="none"/>
        </w:rPr>
        <w:t>IWF Working Papers</w:t>
      </w:r>
      <w:r w:rsidRPr="00D84BC6">
        <w:rPr>
          <w:rFonts w:ascii="Open Sans" w:eastAsia="Times New Roman" w:hAnsi="Open Sans" w:cs="Open Sans"/>
          <w:color w:val="555555"/>
          <w:kern w:val="0"/>
          <w:sz w:val="24"/>
          <w:szCs w:val="24"/>
          <w:lang w:eastAsia="de-AT"/>
          <w14:ligatures w14:val="none"/>
        </w:rPr>
        <w:t> , Nr. 2023/190, IWF, 15. September.</w:t>
      </w:r>
    </w:p>
    <w:p w14:paraId="380FFDE9" w14:textId="77777777" w:rsidR="00D84BC6" w:rsidRPr="00D84BC6" w:rsidRDefault="00D84BC6" w:rsidP="00D84BC6">
      <w:pPr>
        <w:numPr>
          <w:ilvl w:val="0"/>
          <w:numId w:val="2"/>
        </w:numPr>
        <w:spacing w:after="0" w:line="388" w:lineRule="atLeast"/>
        <w:textAlignment w:val="baseline"/>
        <w:rPr>
          <w:rFonts w:ascii="Open Sans" w:eastAsia="Times New Roman" w:hAnsi="Open Sans" w:cs="Open Sans"/>
          <w:color w:val="555555"/>
          <w:kern w:val="0"/>
          <w:sz w:val="24"/>
          <w:szCs w:val="24"/>
          <w:lang w:eastAsia="de-AT"/>
          <w14:ligatures w14:val="none"/>
        </w:rPr>
      </w:pPr>
      <w:r w:rsidRPr="00D84BC6">
        <w:rPr>
          <w:rFonts w:ascii="Open Sans" w:eastAsia="Times New Roman" w:hAnsi="Open Sans" w:cs="Open Sans"/>
          <w:color w:val="555555"/>
          <w:kern w:val="0"/>
          <w:sz w:val="24"/>
          <w:szCs w:val="24"/>
          <w:lang w:eastAsia="de-AT"/>
          <w14:ligatures w14:val="none"/>
        </w:rPr>
        <w:t xml:space="preserve">Wang und Werning (2022) zeigen, dass die Inflation durch eine schrittweise Anpassung der Aufschläge durch oligopolistische Unternehmen mit festen Preisen anhaltender sein kann. Siehe Wang, O. </w:t>
      </w:r>
      <w:r w:rsidRPr="00D84BC6">
        <w:rPr>
          <w:rFonts w:ascii="Open Sans" w:eastAsia="Times New Roman" w:hAnsi="Open Sans" w:cs="Open Sans"/>
          <w:color w:val="555555"/>
          <w:kern w:val="0"/>
          <w:sz w:val="24"/>
          <w:szCs w:val="24"/>
          <w:lang w:eastAsia="de-AT"/>
          <w14:ligatures w14:val="none"/>
        </w:rPr>
        <w:lastRenderedPageBreak/>
        <w:t xml:space="preserve">und I. Werning (2022), „Dynamic Oligopol and Price </w:t>
      </w:r>
      <w:proofErr w:type="spellStart"/>
      <w:r w:rsidRPr="00D84BC6">
        <w:rPr>
          <w:rFonts w:ascii="Open Sans" w:eastAsia="Times New Roman" w:hAnsi="Open Sans" w:cs="Open Sans"/>
          <w:color w:val="555555"/>
          <w:kern w:val="0"/>
          <w:sz w:val="24"/>
          <w:szCs w:val="24"/>
          <w:lang w:eastAsia="de-AT"/>
          <w14:ligatures w14:val="none"/>
        </w:rPr>
        <w:t>Stickiness</w:t>
      </w:r>
      <w:proofErr w:type="spellEnd"/>
      <w:r w:rsidRPr="00D84BC6">
        <w:rPr>
          <w:rFonts w:ascii="Open Sans" w:eastAsia="Times New Roman" w:hAnsi="Open Sans" w:cs="Open Sans"/>
          <w:color w:val="555555"/>
          <w:kern w:val="0"/>
          <w:sz w:val="24"/>
          <w:szCs w:val="24"/>
          <w:lang w:eastAsia="de-AT"/>
          <w14:ligatures w14:val="none"/>
        </w:rPr>
        <w:t>“, </w:t>
      </w:r>
      <w:r w:rsidRPr="00D84BC6">
        <w:rPr>
          <w:rFonts w:ascii="inherit" w:eastAsia="Times New Roman" w:hAnsi="inherit" w:cs="Open Sans"/>
          <w:i/>
          <w:iCs/>
          <w:color w:val="555555"/>
          <w:kern w:val="0"/>
          <w:sz w:val="24"/>
          <w:szCs w:val="24"/>
          <w:bdr w:val="none" w:sz="0" w:space="0" w:color="auto" w:frame="1"/>
          <w:lang w:eastAsia="de-AT"/>
          <w14:ligatures w14:val="none"/>
        </w:rPr>
        <w:t xml:space="preserve">American </w:t>
      </w:r>
      <w:proofErr w:type="spellStart"/>
      <w:r w:rsidRPr="00D84BC6">
        <w:rPr>
          <w:rFonts w:ascii="inherit" w:eastAsia="Times New Roman" w:hAnsi="inherit" w:cs="Open Sans"/>
          <w:i/>
          <w:iCs/>
          <w:color w:val="555555"/>
          <w:kern w:val="0"/>
          <w:sz w:val="24"/>
          <w:szCs w:val="24"/>
          <w:bdr w:val="none" w:sz="0" w:space="0" w:color="auto" w:frame="1"/>
          <w:lang w:eastAsia="de-AT"/>
          <w14:ligatures w14:val="none"/>
        </w:rPr>
        <w:t>Economic</w:t>
      </w:r>
      <w:proofErr w:type="spellEnd"/>
      <w:r w:rsidRPr="00D84BC6">
        <w:rPr>
          <w:rFonts w:ascii="inherit" w:eastAsia="Times New Roman" w:hAnsi="inherit" w:cs="Open Sans"/>
          <w:i/>
          <w:iCs/>
          <w:color w:val="555555"/>
          <w:kern w:val="0"/>
          <w:sz w:val="24"/>
          <w:szCs w:val="24"/>
          <w:bdr w:val="none" w:sz="0" w:space="0" w:color="auto" w:frame="1"/>
          <w:lang w:eastAsia="de-AT"/>
          <w14:ligatures w14:val="none"/>
        </w:rPr>
        <w:t xml:space="preserve"> </w:t>
      </w:r>
      <w:proofErr w:type="gramStart"/>
      <w:r w:rsidRPr="00D84BC6">
        <w:rPr>
          <w:rFonts w:ascii="inherit" w:eastAsia="Times New Roman" w:hAnsi="inherit" w:cs="Open Sans"/>
          <w:i/>
          <w:iCs/>
          <w:color w:val="555555"/>
          <w:kern w:val="0"/>
          <w:sz w:val="24"/>
          <w:szCs w:val="24"/>
          <w:bdr w:val="none" w:sz="0" w:space="0" w:color="auto" w:frame="1"/>
          <w:lang w:eastAsia="de-AT"/>
          <w14:ligatures w14:val="none"/>
        </w:rPr>
        <w:t>Review</w:t>
      </w:r>
      <w:r w:rsidRPr="00D84BC6">
        <w:rPr>
          <w:rFonts w:ascii="Open Sans" w:eastAsia="Times New Roman" w:hAnsi="Open Sans" w:cs="Open Sans"/>
          <w:color w:val="555555"/>
          <w:kern w:val="0"/>
          <w:sz w:val="24"/>
          <w:szCs w:val="24"/>
          <w:lang w:eastAsia="de-AT"/>
          <w14:ligatures w14:val="none"/>
        </w:rPr>
        <w:t> ,</w:t>
      </w:r>
      <w:proofErr w:type="gramEnd"/>
      <w:r w:rsidRPr="00D84BC6">
        <w:rPr>
          <w:rFonts w:ascii="Open Sans" w:eastAsia="Times New Roman" w:hAnsi="Open Sans" w:cs="Open Sans"/>
          <w:color w:val="555555"/>
          <w:kern w:val="0"/>
          <w:sz w:val="24"/>
          <w:szCs w:val="24"/>
          <w:lang w:eastAsia="de-AT"/>
          <w14:ligatures w14:val="none"/>
        </w:rPr>
        <w:t xml:space="preserve"> Bd. 112, Nr. 8, S. 2815-49.</w:t>
      </w:r>
    </w:p>
    <w:p w14:paraId="588CA11F" w14:textId="77777777" w:rsidR="00D84BC6" w:rsidRPr="00D84BC6" w:rsidRDefault="00D84BC6" w:rsidP="00D84BC6">
      <w:pPr>
        <w:numPr>
          <w:ilvl w:val="0"/>
          <w:numId w:val="2"/>
        </w:numPr>
        <w:spacing w:after="0" w:line="388" w:lineRule="atLeast"/>
        <w:textAlignment w:val="baseline"/>
        <w:rPr>
          <w:rFonts w:ascii="Open Sans" w:eastAsia="Times New Roman" w:hAnsi="Open Sans" w:cs="Open Sans"/>
          <w:color w:val="555555"/>
          <w:kern w:val="0"/>
          <w:sz w:val="24"/>
          <w:szCs w:val="24"/>
          <w:lang w:eastAsia="de-AT"/>
          <w14:ligatures w14:val="none"/>
        </w:rPr>
      </w:pPr>
      <w:r w:rsidRPr="00D84BC6">
        <w:rPr>
          <w:rFonts w:ascii="Open Sans" w:eastAsia="Times New Roman" w:hAnsi="Open Sans" w:cs="Open Sans"/>
          <w:color w:val="555555"/>
          <w:kern w:val="0"/>
          <w:sz w:val="24"/>
          <w:szCs w:val="24"/>
          <w:lang w:eastAsia="de-AT"/>
          <w14:ligatures w14:val="none"/>
        </w:rPr>
        <w:t>Schnabel, I. (2023), „ </w:t>
      </w:r>
      <w:proofErr w:type="spellStart"/>
      <w:r w:rsidRPr="00D84BC6">
        <w:rPr>
          <w:rFonts w:ascii="Open Sans" w:eastAsia="Times New Roman" w:hAnsi="Open Sans" w:cs="Open Sans"/>
          <w:color w:val="555555"/>
          <w:kern w:val="0"/>
          <w:sz w:val="24"/>
          <w:szCs w:val="24"/>
          <w:lang w:eastAsia="de-AT"/>
          <w14:ligatures w14:val="none"/>
        </w:rPr>
        <w:fldChar w:fldCharType="begin"/>
      </w:r>
      <w:r w:rsidRPr="00D84BC6">
        <w:rPr>
          <w:rFonts w:ascii="Open Sans" w:eastAsia="Times New Roman" w:hAnsi="Open Sans" w:cs="Open Sans"/>
          <w:color w:val="555555"/>
          <w:kern w:val="0"/>
          <w:sz w:val="24"/>
          <w:szCs w:val="24"/>
          <w:lang w:eastAsia="de-AT"/>
          <w14:ligatures w14:val="none"/>
        </w:rPr>
        <w:instrText>HYPERLINK "https://www.ecb.europa.eu/press/key/date/2023/html/ecb.sp230831~c25314a3fc.en.html"</w:instrText>
      </w:r>
      <w:r w:rsidRPr="00D84BC6">
        <w:rPr>
          <w:rFonts w:ascii="Open Sans" w:eastAsia="Times New Roman" w:hAnsi="Open Sans" w:cs="Open Sans"/>
          <w:color w:val="555555"/>
          <w:kern w:val="0"/>
          <w:sz w:val="24"/>
          <w:szCs w:val="24"/>
          <w:lang w:eastAsia="de-AT"/>
          <w14:ligatures w14:val="none"/>
        </w:rPr>
      </w:r>
      <w:r w:rsidRPr="00D84BC6">
        <w:rPr>
          <w:rFonts w:ascii="Open Sans" w:eastAsia="Times New Roman" w:hAnsi="Open Sans" w:cs="Open Sans"/>
          <w:color w:val="555555"/>
          <w:kern w:val="0"/>
          <w:sz w:val="24"/>
          <w:szCs w:val="24"/>
          <w:lang w:eastAsia="de-AT"/>
          <w14:ligatures w14:val="none"/>
        </w:rPr>
        <w:fldChar w:fldCharType="separate"/>
      </w:r>
      <w:r w:rsidRPr="00D84BC6">
        <w:rPr>
          <w:rFonts w:ascii="Open Sans" w:eastAsia="Times New Roman" w:hAnsi="Open Sans" w:cs="Open Sans"/>
          <w:color w:val="2B7AB6"/>
          <w:kern w:val="0"/>
          <w:sz w:val="24"/>
          <w:szCs w:val="24"/>
          <w:bdr w:val="none" w:sz="0" w:space="0" w:color="auto" w:frame="1"/>
          <w:lang w:eastAsia="de-AT"/>
          <w14:ligatures w14:val="none"/>
        </w:rPr>
        <w:t>Disinflation</w:t>
      </w:r>
      <w:proofErr w:type="spellEnd"/>
      <w:r w:rsidRPr="00D84BC6">
        <w:rPr>
          <w:rFonts w:ascii="Open Sans" w:eastAsia="Times New Roman" w:hAnsi="Open Sans" w:cs="Open Sans"/>
          <w:color w:val="2B7AB6"/>
          <w:kern w:val="0"/>
          <w:sz w:val="24"/>
          <w:szCs w:val="24"/>
          <w:bdr w:val="none" w:sz="0" w:space="0" w:color="auto" w:frame="1"/>
          <w:lang w:eastAsia="de-AT"/>
          <w14:ligatures w14:val="none"/>
        </w:rPr>
        <w:t xml:space="preserve"> and </w:t>
      </w:r>
      <w:proofErr w:type="spellStart"/>
      <w:r w:rsidRPr="00D84BC6">
        <w:rPr>
          <w:rFonts w:ascii="Open Sans" w:eastAsia="Times New Roman" w:hAnsi="Open Sans" w:cs="Open Sans"/>
          <w:color w:val="2B7AB6"/>
          <w:kern w:val="0"/>
          <w:sz w:val="24"/>
          <w:szCs w:val="24"/>
          <w:bdr w:val="none" w:sz="0" w:space="0" w:color="auto" w:frame="1"/>
          <w:lang w:eastAsia="de-AT"/>
          <w14:ligatures w14:val="none"/>
        </w:rPr>
        <w:t>the</w:t>
      </w:r>
      <w:proofErr w:type="spellEnd"/>
      <w:r w:rsidRPr="00D84BC6">
        <w:rPr>
          <w:rFonts w:ascii="Open Sans" w:eastAsia="Times New Roman" w:hAnsi="Open Sans" w:cs="Open Sans"/>
          <w:color w:val="2B7AB6"/>
          <w:kern w:val="0"/>
          <w:sz w:val="24"/>
          <w:szCs w:val="24"/>
          <w:bdr w:val="none" w:sz="0" w:space="0" w:color="auto" w:frame="1"/>
          <w:lang w:eastAsia="de-AT"/>
          <w14:ligatures w14:val="none"/>
        </w:rPr>
        <w:t xml:space="preserve"> Phillips </w:t>
      </w:r>
      <w:proofErr w:type="spellStart"/>
      <w:r w:rsidRPr="00D84BC6">
        <w:rPr>
          <w:rFonts w:ascii="Open Sans" w:eastAsia="Times New Roman" w:hAnsi="Open Sans" w:cs="Open Sans"/>
          <w:color w:val="2B7AB6"/>
          <w:kern w:val="0"/>
          <w:sz w:val="24"/>
          <w:szCs w:val="24"/>
          <w:bdr w:val="none" w:sz="0" w:space="0" w:color="auto" w:frame="1"/>
          <w:lang w:eastAsia="de-AT"/>
          <w14:ligatures w14:val="none"/>
        </w:rPr>
        <w:t>Curve</w:t>
      </w:r>
      <w:proofErr w:type="spellEnd"/>
      <w:r w:rsidRPr="00D84BC6">
        <w:rPr>
          <w:rFonts w:ascii="Open Sans" w:eastAsia="Times New Roman" w:hAnsi="Open Sans" w:cs="Open Sans"/>
          <w:color w:val="555555"/>
          <w:kern w:val="0"/>
          <w:sz w:val="24"/>
          <w:szCs w:val="24"/>
          <w:lang w:eastAsia="de-AT"/>
          <w14:ligatures w14:val="none"/>
        </w:rPr>
        <w:fldChar w:fldCharType="end"/>
      </w:r>
      <w:r w:rsidRPr="00D84BC6">
        <w:rPr>
          <w:rFonts w:ascii="Open Sans" w:eastAsia="Times New Roman" w:hAnsi="Open Sans" w:cs="Open Sans"/>
          <w:color w:val="555555"/>
          <w:kern w:val="0"/>
          <w:sz w:val="24"/>
          <w:szCs w:val="24"/>
          <w:lang w:eastAsia="de-AT"/>
          <w14:ligatures w14:val="none"/>
        </w:rPr>
        <w:t xml:space="preserve"> “, Rede auf einer von der Europäischen Zentralbank und dem Center </w:t>
      </w:r>
      <w:proofErr w:type="spellStart"/>
      <w:r w:rsidRPr="00D84BC6">
        <w:rPr>
          <w:rFonts w:ascii="Open Sans" w:eastAsia="Times New Roman" w:hAnsi="Open Sans" w:cs="Open Sans"/>
          <w:color w:val="555555"/>
          <w:kern w:val="0"/>
          <w:sz w:val="24"/>
          <w:szCs w:val="24"/>
          <w:lang w:eastAsia="de-AT"/>
          <w14:ligatures w14:val="none"/>
        </w:rPr>
        <w:t>for</w:t>
      </w:r>
      <w:proofErr w:type="spellEnd"/>
      <w:r w:rsidRPr="00D84BC6">
        <w:rPr>
          <w:rFonts w:ascii="Open Sans" w:eastAsia="Times New Roman" w:hAnsi="Open Sans" w:cs="Open Sans"/>
          <w:color w:val="555555"/>
          <w:kern w:val="0"/>
          <w:sz w:val="24"/>
          <w:szCs w:val="24"/>
          <w:lang w:eastAsia="de-AT"/>
          <w14:ligatures w14:val="none"/>
        </w:rPr>
        <w:t xml:space="preserve"> Inflation Research der Federal Reserve Bank </w:t>
      </w:r>
      <w:proofErr w:type="spellStart"/>
      <w:r w:rsidRPr="00D84BC6">
        <w:rPr>
          <w:rFonts w:ascii="Open Sans" w:eastAsia="Times New Roman" w:hAnsi="Open Sans" w:cs="Open Sans"/>
          <w:color w:val="555555"/>
          <w:kern w:val="0"/>
          <w:sz w:val="24"/>
          <w:szCs w:val="24"/>
          <w:lang w:eastAsia="de-AT"/>
          <w14:ligatures w14:val="none"/>
        </w:rPr>
        <w:t>of</w:t>
      </w:r>
      <w:proofErr w:type="spellEnd"/>
      <w:r w:rsidRPr="00D84BC6">
        <w:rPr>
          <w:rFonts w:ascii="Open Sans" w:eastAsia="Times New Roman" w:hAnsi="Open Sans" w:cs="Open Sans"/>
          <w:color w:val="555555"/>
          <w:kern w:val="0"/>
          <w:sz w:val="24"/>
          <w:szCs w:val="24"/>
          <w:lang w:eastAsia="de-AT"/>
          <w14:ligatures w14:val="none"/>
        </w:rPr>
        <w:t xml:space="preserve"> Cleveland organisierten Konferenz zum Thema „Inflation: Treiber und Dynamik 2023“, 31. August.</w:t>
      </w:r>
    </w:p>
    <w:p w14:paraId="260DF50F" w14:textId="77777777" w:rsidR="00D84BC6" w:rsidRPr="00D84BC6" w:rsidRDefault="00D84BC6" w:rsidP="00D84BC6">
      <w:pPr>
        <w:numPr>
          <w:ilvl w:val="0"/>
          <w:numId w:val="2"/>
        </w:numPr>
        <w:spacing w:after="0" w:line="388" w:lineRule="atLeast"/>
        <w:textAlignment w:val="baseline"/>
        <w:rPr>
          <w:rFonts w:ascii="Open Sans" w:eastAsia="Times New Roman" w:hAnsi="Open Sans" w:cs="Open Sans"/>
          <w:color w:val="555555"/>
          <w:kern w:val="0"/>
          <w:sz w:val="24"/>
          <w:szCs w:val="24"/>
          <w:lang w:eastAsia="de-AT"/>
          <w14:ligatures w14:val="none"/>
        </w:rPr>
      </w:pPr>
      <w:r w:rsidRPr="00D84BC6">
        <w:rPr>
          <w:rFonts w:ascii="Open Sans" w:eastAsia="Times New Roman" w:hAnsi="Open Sans" w:cs="Open Sans"/>
          <w:color w:val="555555"/>
          <w:kern w:val="0"/>
          <w:sz w:val="24"/>
          <w:szCs w:val="24"/>
          <w:lang w:eastAsia="de-AT"/>
          <w14:ligatures w14:val="none"/>
        </w:rPr>
        <w:t>Schnabel, I. (2023), „ </w:t>
      </w:r>
      <w:hyperlink r:id="rId51" w:history="1">
        <w:r w:rsidRPr="00D84BC6">
          <w:rPr>
            <w:rFonts w:ascii="Open Sans" w:eastAsia="Times New Roman" w:hAnsi="Open Sans" w:cs="Open Sans"/>
            <w:color w:val="2B7AB6"/>
            <w:kern w:val="0"/>
            <w:sz w:val="24"/>
            <w:szCs w:val="24"/>
            <w:bdr w:val="none" w:sz="0" w:space="0" w:color="auto" w:frame="1"/>
            <w:lang w:eastAsia="de-AT"/>
            <w14:ligatures w14:val="none"/>
          </w:rPr>
          <w:t>Geld und Inflation</w:t>
        </w:r>
      </w:hyperlink>
      <w:r w:rsidRPr="00D84BC6">
        <w:rPr>
          <w:rFonts w:ascii="Open Sans" w:eastAsia="Times New Roman" w:hAnsi="Open Sans" w:cs="Open Sans"/>
          <w:color w:val="555555"/>
          <w:kern w:val="0"/>
          <w:sz w:val="24"/>
          <w:szCs w:val="24"/>
          <w:lang w:eastAsia="de-AT"/>
          <w14:ligatures w14:val="none"/>
        </w:rPr>
        <w:t xml:space="preserve"> “, Thünen-Vortrag auf der Jahrestagung des Vereins für </w:t>
      </w:r>
      <w:proofErr w:type="spellStart"/>
      <w:r w:rsidRPr="00D84BC6">
        <w:rPr>
          <w:rFonts w:ascii="Open Sans" w:eastAsia="Times New Roman" w:hAnsi="Open Sans" w:cs="Open Sans"/>
          <w:color w:val="555555"/>
          <w:kern w:val="0"/>
          <w:sz w:val="24"/>
          <w:szCs w:val="24"/>
          <w:lang w:eastAsia="de-AT"/>
          <w14:ligatures w14:val="none"/>
        </w:rPr>
        <w:t>Socialpolitik</w:t>
      </w:r>
      <w:proofErr w:type="spellEnd"/>
      <w:r w:rsidRPr="00D84BC6">
        <w:rPr>
          <w:rFonts w:ascii="Open Sans" w:eastAsia="Times New Roman" w:hAnsi="Open Sans" w:cs="Open Sans"/>
          <w:color w:val="555555"/>
          <w:kern w:val="0"/>
          <w:sz w:val="24"/>
          <w:szCs w:val="24"/>
          <w:lang w:eastAsia="de-AT"/>
          <w14:ligatures w14:val="none"/>
        </w:rPr>
        <w:t>, Regensburg, 25. September.</w:t>
      </w:r>
    </w:p>
    <w:p w14:paraId="007F0F47" w14:textId="77777777" w:rsidR="00D84BC6" w:rsidRPr="00D84BC6" w:rsidRDefault="00D84BC6" w:rsidP="00D84BC6">
      <w:pPr>
        <w:numPr>
          <w:ilvl w:val="0"/>
          <w:numId w:val="2"/>
        </w:numPr>
        <w:spacing w:after="0" w:line="388" w:lineRule="atLeast"/>
        <w:textAlignment w:val="baseline"/>
        <w:rPr>
          <w:rFonts w:ascii="Open Sans" w:eastAsia="Times New Roman" w:hAnsi="Open Sans" w:cs="Open Sans"/>
          <w:color w:val="555555"/>
          <w:kern w:val="0"/>
          <w:sz w:val="24"/>
          <w:szCs w:val="24"/>
          <w:lang w:eastAsia="de-AT"/>
          <w14:ligatures w14:val="none"/>
        </w:rPr>
      </w:pPr>
      <w:r w:rsidRPr="00D84BC6">
        <w:rPr>
          <w:rFonts w:ascii="Open Sans" w:eastAsia="Times New Roman" w:hAnsi="Open Sans" w:cs="Open Sans"/>
          <w:color w:val="555555"/>
          <w:kern w:val="0"/>
          <w:sz w:val="24"/>
          <w:szCs w:val="24"/>
          <w:lang w:eastAsia="de-AT"/>
          <w14:ligatures w14:val="none"/>
        </w:rPr>
        <w:t xml:space="preserve">Blanchard, O. und </w:t>
      </w:r>
      <w:proofErr w:type="spellStart"/>
      <w:r w:rsidRPr="00D84BC6">
        <w:rPr>
          <w:rFonts w:ascii="Open Sans" w:eastAsia="Times New Roman" w:hAnsi="Open Sans" w:cs="Open Sans"/>
          <w:color w:val="555555"/>
          <w:kern w:val="0"/>
          <w:sz w:val="24"/>
          <w:szCs w:val="24"/>
          <w:lang w:eastAsia="de-AT"/>
          <w14:ligatures w14:val="none"/>
        </w:rPr>
        <w:t>Galí</w:t>
      </w:r>
      <w:proofErr w:type="spellEnd"/>
      <w:r w:rsidRPr="00D84BC6">
        <w:rPr>
          <w:rFonts w:ascii="Open Sans" w:eastAsia="Times New Roman" w:hAnsi="Open Sans" w:cs="Open Sans"/>
          <w:color w:val="555555"/>
          <w:kern w:val="0"/>
          <w:sz w:val="24"/>
          <w:szCs w:val="24"/>
          <w:lang w:eastAsia="de-AT"/>
          <w14:ligatures w14:val="none"/>
        </w:rPr>
        <w:t xml:space="preserve">, J. (2007), „Real Wage </w:t>
      </w:r>
      <w:proofErr w:type="spellStart"/>
      <w:r w:rsidRPr="00D84BC6">
        <w:rPr>
          <w:rFonts w:ascii="Open Sans" w:eastAsia="Times New Roman" w:hAnsi="Open Sans" w:cs="Open Sans"/>
          <w:color w:val="555555"/>
          <w:kern w:val="0"/>
          <w:sz w:val="24"/>
          <w:szCs w:val="24"/>
          <w:lang w:eastAsia="de-AT"/>
          <w14:ligatures w14:val="none"/>
        </w:rPr>
        <w:t>Rigidities</w:t>
      </w:r>
      <w:proofErr w:type="spellEnd"/>
      <w:r w:rsidRPr="00D84BC6">
        <w:rPr>
          <w:rFonts w:ascii="Open Sans" w:eastAsia="Times New Roman" w:hAnsi="Open Sans" w:cs="Open Sans"/>
          <w:color w:val="555555"/>
          <w:kern w:val="0"/>
          <w:sz w:val="24"/>
          <w:szCs w:val="24"/>
          <w:lang w:eastAsia="de-AT"/>
          <w14:ligatures w14:val="none"/>
        </w:rPr>
        <w:t xml:space="preserve"> and </w:t>
      </w:r>
      <w:proofErr w:type="spellStart"/>
      <w:r w:rsidRPr="00D84BC6">
        <w:rPr>
          <w:rFonts w:ascii="Open Sans" w:eastAsia="Times New Roman" w:hAnsi="Open Sans" w:cs="Open Sans"/>
          <w:color w:val="555555"/>
          <w:kern w:val="0"/>
          <w:sz w:val="24"/>
          <w:szCs w:val="24"/>
          <w:lang w:eastAsia="de-AT"/>
          <w14:ligatures w14:val="none"/>
        </w:rPr>
        <w:t>the</w:t>
      </w:r>
      <w:proofErr w:type="spellEnd"/>
      <w:r w:rsidRPr="00D84BC6">
        <w:rPr>
          <w:rFonts w:ascii="Open Sans" w:eastAsia="Times New Roman" w:hAnsi="Open Sans" w:cs="Open Sans"/>
          <w:color w:val="555555"/>
          <w:kern w:val="0"/>
          <w:sz w:val="24"/>
          <w:szCs w:val="24"/>
          <w:lang w:eastAsia="de-AT"/>
          <w14:ligatures w14:val="none"/>
        </w:rPr>
        <w:t xml:space="preserve"> New </w:t>
      </w:r>
      <w:proofErr w:type="spellStart"/>
      <w:r w:rsidRPr="00D84BC6">
        <w:rPr>
          <w:rFonts w:ascii="Open Sans" w:eastAsia="Times New Roman" w:hAnsi="Open Sans" w:cs="Open Sans"/>
          <w:color w:val="555555"/>
          <w:kern w:val="0"/>
          <w:sz w:val="24"/>
          <w:szCs w:val="24"/>
          <w:lang w:eastAsia="de-AT"/>
          <w14:ligatures w14:val="none"/>
        </w:rPr>
        <w:t>Keynesian</w:t>
      </w:r>
      <w:proofErr w:type="spellEnd"/>
      <w:r w:rsidRPr="00D84BC6">
        <w:rPr>
          <w:rFonts w:ascii="Open Sans" w:eastAsia="Times New Roman" w:hAnsi="Open Sans" w:cs="Open Sans"/>
          <w:color w:val="555555"/>
          <w:kern w:val="0"/>
          <w:sz w:val="24"/>
          <w:szCs w:val="24"/>
          <w:lang w:eastAsia="de-AT"/>
          <w14:ligatures w14:val="none"/>
        </w:rPr>
        <w:t xml:space="preserve"> Model“, </w:t>
      </w:r>
      <w:r w:rsidRPr="00D84BC6">
        <w:rPr>
          <w:rFonts w:ascii="inherit" w:eastAsia="Times New Roman" w:hAnsi="inherit" w:cs="Open Sans"/>
          <w:i/>
          <w:iCs/>
          <w:color w:val="555555"/>
          <w:kern w:val="0"/>
          <w:sz w:val="24"/>
          <w:szCs w:val="24"/>
          <w:bdr w:val="none" w:sz="0" w:space="0" w:color="auto" w:frame="1"/>
          <w:lang w:eastAsia="de-AT"/>
          <w14:ligatures w14:val="none"/>
        </w:rPr>
        <w:t xml:space="preserve">Journal </w:t>
      </w:r>
      <w:proofErr w:type="spellStart"/>
      <w:r w:rsidRPr="00D84BC6">
        <w:rPr>
          <w:rFonts w:ascii="inherit" w:eastAsia="Times New Roman" w:hAnsi="inherit" w:cs="Open Sans"/>
          <w:i/>
          <w:iCs/>
          <w:color w:val="555555"/>
          <w:kern w:val="0"/>
          <w:sz w:val="24"/>
          <w:szCs w:val="24"/>
          <w:bdr w:val="none" w:sz="0" w:space="0" w:color="auto" w:frame="1"/>
          <w:lang w:eastAsia="de-AT"/>
          <w14:ligatures w14:val="none"/>
        </w:rPr>
        <w:t>of</w:t>
      </w:r>
      <w:proofErr w:type="spellEnd"/>
      <w:r w:rsidRPr="00D84BC6">
        <w:rPr>
          <w:rFonts w:ascii="inherit" w:eastAsia="Times New Roman" w:hAnsi="inherit" w:cs="Open Sans"/>
          <w:i/>
          <w:iCs/>
          <w:color w:val="555555"/>
          <w:kern w:val="0"/>
          <w:sz w:val="24"/>
          <w:szCs w:val="24"/>
          <w:bdr w:val="none" w:sz="0" w:space="0" w:color="auto" w:frame="1"/>
          <w:lang w:eastAsia="de-AT"/>
          <w14:ligatures w14:val="none"/>
        </w:rPr>
        <w:t xml:space="preserve"> Money, </w:t>
      </w:r>
      <w:proofErr w:type="spellStart"/>
      <w:r w:rsidRPr="00D84BC6">
        <w:rPr>
          <w:rFonts w:ascii="inherit" w:eastAsia="Times New Roman" w:hAnsi="inherit" w:cs="Open Sans"/>
          <w:i/>
          <w:iCs/>
          <w:color w:val="555555"/>
          <w:kern w:val="0"/>
          <w:sz w:val="24"/>
          <w:szCs w:val="24"/>
          <w:bdr w:val="none" w:sz="0" w:space="0" w:color="auto" w:frame="1"/>
          <w:lang w:eastAsia="de-AT"/>
          <w14:ligatures w14:val="none"/>
        </w:rPr>
        <w:t>Credit</w:t>
      </w:r>
      <w:proofErr w:type="spellEnd"/>
      <w:r w:rsidRPr="00D84BC6">
        <w:rPr>
          <w:rFonts w:ascii="inherit" w:eastAsia="Times New Roman" w:hAnsi="inherit" w:cs="Open Sans"/>
          <w:i/>
          <w:iCs/>
          <w:color w:val="555555"/>
          <w:kern w:val="0"/>
          <w:sz w:val="24"/>
          <w:szCs w:val="24"/>
          <w:bdr w:val="none" w:sz="0" w:space="0" w:color="auto" w:frame="1"/>
          <w:lang w:eastAsia="de-AT"/>
          <w14:ligatures w14:val="none"/>
        </w:rPr>
        <w:t xml:space="preserve"> and </w:t>
      </w:r>
      <w:proofErr w:type="gramStart"/>
      <w:r w:rsidRPr="00D84BC6">
        <w:rPr>
          <w:rFonts w:ascii="inherit" w:eastAsia="Times New Roman" w:hAnsi="inherit" w:cs="Open Sans"/>
          <w:i/>
          <w:iCs/>
          <w:color w:val="555555"/>
          <w:kern w:val="0"/>
          <w:sz w:val="24"/>
          <w:szCs w:val="24"/>
          <w:bdr w:val="none" w:sz="0" w:space="0" w:color="auto" w:frame="1"/>
          <w:lang w:eastAsia="de-AT"/>
          <w14:ligatures w14:val="none"/>
        </w:rPr>
        <w:t>Banking</w:t>
      </w:r>
      <w:r w:rsidRPr="00D84BC6">
        <w:rPr>
          <w:rFonts w:ascii="Open Sans" w:eastAsia="Times New Roman" w:hAnsi="Open Sans" w:cs="Open Sans"/>
          <w:color w:val="555555"/>
          <w:kern w:val="0"/>
          <w:sz w:val="24"/>
          <w:szCs w:val="24"/>
          <w:lang w:eastAsia="de-AT"/>
          <w14:ligatures w14:val="none"/>
        </w:rPr>
        <w:t> ,</w:t>
      </w:r>
      <w:proofErr w:type="gramEnd"/>
      <w:r w:rsidRPr="00D84BC6">
        <w:rPr>
          <w:rFonts w:ascii="Open Sans" w:eastAsia="Times New Roman" w:hAnsi="Open Sans" w:cs="Open Sans"/>
          <w:color w:val="555555"/>
          <w:kern w:val="0"/>
          <w:sz w:val="24"/>
          <w:szCs w:val="24"/>
          <w:lang w:eastAsia="de-AT"/>
          <w14:ligatures w14:val="none"/>
        </w:rPr>
        <w:t xml:space="preserve"> Bd. 39 (S1), S. 35-65.</w:t>
      </w:r>
    </w:p>
    <w:p w14:paraId="2579CD91" w14:textId="77777777" w:rsidR="00D84BC6" w:rsidRPr="00D84BC6" w:rsidRDefault="00D84BC6" w:rsidP="00D84BC6">
      <w:pPr>
        <w:numPr>
          <w:ilvl w:val="0"/>
          <w:numId w:val="2"/>
        </w:numPr>
        <w:spacing w:after="0" w:line="388" w:lineRule="atLeast"/>
        <w:textAlignment w:val="baseline"/>
        <w:rPr>
          <w:rFonts w:ascii="Open Sans" w:eastAsia="Times New Roman" w:hAnsi="Open Sans" w:cs="Open Sans"/>
          <w:color w:val="555555"/>
          <w:kern w:val="0"/>
          <w:sz w:val="24"/>
          <w:szCs w:val="24"/>
          <w:lang w:eastAsia="de-AT"/>
          <w14:ligatures w14:val="none"/>
        </w:rPr>
      </w:pPr>
      <w:r w:rsidRPr="00D84BC6">
        <w:rPr>
          <w:rFonts w:ascii="Open Sans" w:eastAsia="Times New Roman" w:hAnsi="Open Sans" w:cs="Open Sans"/>
          <w:color w:val="555555"/>
          <w:kern w:val="0"/>
          <w:sz w:val="24"/>
          <w:szCs w:val="24"/>
          <w:lang w:eastAsia="de-AT"/>
          <w14:ligatures w14:val="none"/>
        </w:rPr>
        <w:t xml:space="preserve">Anders ausgedrückt war der Erwartungskanal der Geldpolitik eine notwendige Voraussetzung für eine mögliche sanfte Landung der Wirtschaft, vor allem angesichts der übermäßigen Inflationsüberschreitungen. Siehe Beaudry, P., Carter, TJ und Lahiri, A. (2022), „Looking Through Supply Shocks versus Controlling Inflation </w:t>
      </w:r>
      <w:proofErr w:type="spellStart"/>
      <w:r w:rsidRPr="00D84BC6">
        <w:rPr>
          <w:rFonts w:ascii="Open Sans" w:eastAsia="Times New Roman" w:hAnsi="Open Sans" w:cs="Open Sans"/>
          <w:color w:val="555555"/>
          <w:kern w:val="0"/>
          <w:sz w:val="24"/>
          <w:szCs w:val="24"/>
          <w:lang w:eastAsia="de-AT"/>
          <w14:ligatures w14:val="none"/>
        </w:rPr>
        <w:t>Expectations</w:t>
      </w:r>
      <w:proofErr w:type="spellEnd"/>
      <w:r w:rsidRPr="00D84BC6">
        <w:rPr>
          <w:rFonts w:ascii="Open Sans" w:eastAsia="Times New Roman" w:hAnsi="Open Sans" w:cs="Open Sans"/>
          <w:color w:val="555555"/>
          <w:kern w:val="0"/>
          <w:sz w:val="24"/>
          <w:szCs w:val="24"/>
          <w:lang w:eastAsia="de-AT"/>
          <w14:ligatures w14:val="none"/>
        </w:rPr>
        <w:t xml:space="preserve">: Understanding </w:t>
      </w:r>
      <w:proofErr w:type="spellStart"/>
      <w:r w:rsidRPr="00D84BC6">
        <w:rPr>
          <w:rFonts w:ascii="Open Sans" w:eastAsia="Times New Roman" w:hAnsi="Open Sans" w:cs="Open Sans"/>
          <w:color w:val="555555"/>
          <w:kern w:val="0"/>
          <w:sz w:val="24"/>
          <w:szCs w:val="24"/>
          <w:lang w:eastAsia="de-AT"/>
          <w14:ligatures w14:val="none"/>
        </w:rPr>
        <w:t>the</w:t>
      </w:r>
      <w:proofErr w:type="spellEnd"/>
      <w:r w:rsidRPr="00D84BC6">
        <w:rPr>
          <w:rFonts w:ascii="Open Sans" w:eastAsia="Times New Roman" w:hAnsi="Open Sans" w:cs="Open Sans"/>
          <w:color w:val="555555"/>
          <w:kern w:val="0"/>
          <w:sz w:val="24"/>
          <w:szCs w:val="24"/>
          <w:lang w:eastAsia="de-AT"/>
          <w14:ligatures w14:val="none"/>
        </w:rPr>
        <w:t xml:space="preserve"> Central Bank Dilemma“, </w:t>
      </w:r>
      <w:proofErr w:type="spellStart"/>
      <w:r w:rsidRPr="00D84BC6">
        <w:rPr>
          <w:rFonts w:ascii="Open Sans" w:eastAsia="Times New Roman" w:hAnsi="Open Sans" w:cs="Open Sans"/>
          <w:color w:val="555555"/>
          <w:kern w:val="0"/>
          <w:sz w:val="24"/>
          <w:szCs w:val="24"/>
          <w:lang w:eastAsia="de-AT"/>
          <w14:ligatures w14:val="none"/>
        </w:rPr>
        <w:t>Staff</w:t>
      </w:r>
      <w:proofErr w:type="spellEnd"/>
      <w:r w:rsidRPr="00D84BC6">
        <w:rPr>
          <w:rFonts w:ascii="Open Sans" w:eastAsia="Times New Roman" w:hAnsi="Open Sans" w:cs="Open Sans"/>
          <w:color w:val="555555"/>
          <w:kern w:val="0"/>
          <w:sz w:val="24"/>
          <w:szCs w:val="24"/>
          <w:lang w:eastAsia="de-AT"/>
          <w14:ligatures w14:val="none"/>
        </w:rPr>
        <w:t> </w:t>
      </w:r>
      <w:r w:rsidRPr="00D84BC6">
        <w:rPr>
          <w:rFonts w:ascii="inherit" w:eastAsia="Times New Roman" w:hAnsi="inherit" w:cs="Open Sans"/>
          <w:i/>
          <w:iCs/>
          <w:color w:val="555555"/>
          <w:kern w:val="0"/>
          <w:sz w:val="24"/>
          <w:szCs w:val="24"/>
          <w:bdr w:val="none" w:sz="0" w:space="0" w:color="auto" w:frame="1"/>
          <w:lang w:eastAsia="de-AT"/>
          <w14:ligatures w14:val="none"/>
        </w:rPr>
        <w:t xml:space="preserve">Working </w:t>
      </w:r>
      <w:proofErr w:type="gramStart"/>
      <w:r w:rsidRPr="00D84BC6">
        <w:rPr>
          <w:rFonts w:ascii="inherit" w:eastAsia="Times New Roman" w:hAnsi="inherit" w:cs="Open Sans"/>
          <w:i/>
          <w:iCs/>
          <w:color w:val="555555"/>
          <w:kern w:val="0"/>
          <w:sz w:val="24"/>
          <w:szCs w:val="24"/>
          <w:bdr w:val="none" w:sz="0" w:space="0" w:color="auto" w:frame="1"/>
          <w:lang w:eastAsia="de-AT"/>
          <w14:ligatures w14:val="none"/>
        </w:rPr>
        <w:t>Papers</w:t>
      </w:r>
      <w:r w:rsidRPr="00D84BC6">
        <w:rPr>
          <w:rFonts w:ascii="Open Sans" w:eastAsia="Times New Roman" w:hAnsi="Open Sans" w:cs="Open Sans"/>
          <w:color w:val="555555"/>
          <w:kern w:val="0"/>
          <w:sz w:val="24"/>
          <w:szCs w:val="24"/>
          <w:lang w:eastAsia="de-AT"/>
          <w14:ligatures w14:val="none"/>
        </w:rPr>
        <w:t> ,</w:t>
      </w:r>
      <w:proofErr w:type="gramEnd"/>
      <w:r w:rsidRPr="00D84BC6">
        <w:rPr>
          <w:rFonts w:ascii="Open Sans" w:eastAsia="Times New Roman" w:hAnsi="Open Sans" w:cs="Open Sans"/>
          <w:color w:val="555555"/>
          <w:kern w:val="0"/>
          <w:sz w:val="24"/>
          <w:szCs w:val="24"/>
          <w:lang w:eastAsia="de-AT"/>
          <w14:ligatures w14:val="none"/>
        </w:rPr>
        <w:t xml:space="preserve"> Nr. 2022-41, Bank </w:t>
      </w:r>
      <w:proofErr w:type="spellStart"/>
      <w:r w:rsidRPr="00D84BC6">
        <w:rPr>
          <w:rFonts w:ascii="Open Sans" w:eastAsia="Times New Roman" w:hAnsi="Open Sans" w:cs="Open Sans"/>
          <w:color w:val="555555"/>
          <w:kern w:val="0"/>
          <w:sz w:val="24"/>
          <w:szCs w:val="24"/>
          <w:lang w:eastAsia="de-AT"/>
          <w14:ligatures w14:val="none"/>
        </w:rPr>
        <w:t>of</w:t>
      </w:r>
      <w:proofErr w:type="spellEnd"/>
      <w:r w:rsidRPr="00D84BC6">
        <w:rPr>
          <w:rFonts w:ascii="Open Sans" w:eastAsia="Times New Roman" w:hAnsi="Open Sans" w:cs="Open Sans"/>
          <w:color w:val="555555"/>
          <w:kern w:val="0"/>
          <w:sz w:val="24"/>
          <w:szCs w:val="24"/>
          <w:lang w:eastAsia="de-AT"/>
          <w14:ligatures w14:val="none"/>
        </w:rPr>
        <w:t xml:space="preserve"> Canada; und Sargent, T. (1983), „</w:t>
      </w:r>
      <w:proofErr w:type="spellStart"/>
      <w:r w:rsidRPr="00D84BC6">
        <w:rPr>
          <w:rFonts w:ascii="Open Sans" w:eastAsia="Times New Roman" w:hAnsi="Open Sans" w:cs="Open Sans"/>
          <w:color w:val="555555"/>
          <w:kern w:val="0"/>
          <w:sz w:val="24"/>
          <w:szCs w:val="24"/>
          <w:lang w:eastAsia="de-AT"/>
          <w14:ligatures w14:val="none"/>
        </w:rPr>
        <w:t>Stopping</w:t>
      </w:r>
      <w:proofErr w:type="spellEnd"/>
      <w:r w:rsidRPr="00D84BC6">
        <w:rPr>
          <w:rFonts w:ascii="Open Sans" w:eastAsia="Times New Roman" w:hAnsi="Open Sans" w:cs="Open Sans"/>
          <w:color w:val="555555"/>
          <w:kern w:val="0"/>
          <w:sz w:val="24"/>
          <w:szCs w:val="24"/>
          <w:lang w:eastAsia="de-AT"/>
          <w14:ligatures w14:val="none"/>
        </w:rPr>
        <w:t xml:space="preserve"> Moderate </w:t>
      </w:r>
      <w:proofErr w:type="spellStart"/>
      <w:r w:rsidRPr="00D84BC6">
        <w:rPr>
          <w:rFonts w:ascii="Open Sans" w:eastAsia="Times New Roman" w:hAnsi="Open Sans" w:cs="Open Sans"/>
          <w:color w:val="555555"/>
          <w:kern w:val="0"/>
          <w:sz w:val="24"/>
          <w:szCs w:val="24"/>
          <w:lang w:eastAsia="de-AT"/>
          <w14:ligatures w14:val="none"/>
        </w:rPr>
        <w:t>Inflations</w:t>
      </w:r>
      <w:proofErr w:type="spellEnd"/>
      <w:r w:rsidRPr="00D84BC6">
        <w:rPr>
          <w:rFonts w:ascii="Open Sans" w:eastAsia="Times New Roman" w:hAnsi="Open Sans" w:cs="Open Sans"/>
          <w:color w:val="555555"/>
          <w:kern w:val="0"/>
          <w:sz w:val="24"/>
          <w:szCs w:val="24"/>
          <w:lang w:eastAsia="de-AT"/>
          <w14:ligatures w14:val="none"/>
        </w:rPr>
        <w:t xml:space="preserve">: The Methods </w:t>
      </w:r>
      <w:proofErr w:type="spellStart"/>
      <w:r w:rsidRPr="00D84BC6">
        <w:rPr>
          <w:rFonts w:ascii="Open Sans" w:eastAsia="Times New Roman" w:hAnsi="Open Sans" w:cs="Open Sans"/>
          <w:color w:val="555555"/>
          <w:kern w:val="0"/>
          <w:sz w:val="24"/>
          <w:szCs w:val="24"/>
          <w:lang w:eastAsia="de-AT"/>
          <w14:ligatures w14:val="none"/>
        </w:rPr>
        <w:t>of</w:t>
      </w:r>
      <w:proofErr w:type="spellEnd"/>
      <w:r w:rsidRPr="00D84BC6">
        <w:rPr>
          <w:rFonts w:ascii="Open Sans" w:eastAsia="Times New Roman" w:hAnsi="Open Sans" w:cs="Open Sans"/>
          <w:color w:val="555555"/>
          <w:kern w:val="0"/>
          <w:sz w:val="24"/>
          <w:szCs w:val="24"/>
          <w:lang w:eastAsia="de-AT"/>
          <w14:ligatures w14:val="none"/>
        </w:rPr>
        <w:t xml:space="preserve"> Poincare and Thatcher“, in Dornbusch, R. und Simonsen, MH (Hrsg.), Inflation, </w:t>
      </w:r>
      <w:proofErr w:type="spellStart"/>
      <w:r w:rsidRPr="00D84BC6">
        <w:rPr>
          <w:rFonts w:ascii="Open Sans" w:eastAsia="Times New Roman" w:hAnsi="Open Sans" w:cs="Open Sans"/>
          <w:color w:val="555555"/>
          <w:kern w:val="0"/>
          <w:sz w:val="24"/>
          <w:szCs w:val="24"/>
          <w:lang w:eastAsia="de-AT"/>
          <w14:ligatures w14:val="none"/>
        </w:rPr>
        <w:t>Debt</w:t>
      </w:r>
      <w:proofErr w:type="spellEnd"/>
      <w:r w:rsidRPr="00D84BC6">
        <w:rPr>
          <w:rFonts w:ascii="Open Sans" w:eastAsia="Times New Roman" w:hAnsi="Open Sans" w:cs="Open Sans"/>
          <w:color w:val="555555"/>
          <w:kern w:val="0"/>
          <w:sz w:val="24"/>
          <w:szCs w:val="24"/>
          <w:lang w:eastAsia="de-AT"/>
          <w14:ligatures w14:val="none"/>
        </w:rPr>
        <w:t xml:space="preserve">, and </w:t>
      </w:r>
      <w:proofErr w:type="spellStart"/>
      <w:r w:rsidRPr="00D84BC6">
        <w:rPr>
          <w:rFonts w:ascii="Open Sans" w:eastAsia="Times New Roman" w:hAnsi="Open Sans" w:cs="Open Sans"/>
          <w:color w:val="555555"/>
          <w:kern w:val="0"/>
          <w:sz w:val="24"/>
          <w:szCs w:val="24"/>
          <w:lang w:eastAsia="de-AT"/>
          <w14:ligatures w14:val="none"/>
        </w:rPr>
        <w:t>Indexation</w:t>
      </w:r>
      <w:proofErr w:type="spellEnd"/>
      <w:r w:rsidRPr="00D84BC6">
        <w:rPr>
          <w:rFonts w:ascii="Open Sans" w:eastAsia="Times New Roman" w:hAnsi="Open Sans" w:cs="Open Sans"/>
          <w:color w:val="555555"/>
          <w:kern w:val="0"/>
          <w:sz w:val="24"/>
          <w:szCs w:val="24"/>
          <w:lang w:eastAsia="de-AT"/>
          <w14:ligatures w14:val="none"/>
        </w:rPr>
        <w:t>, Cambridge, MA, MIT </w:t>
      </w:r>
      <w:r w:rsidRPr="00D84BC6">
        <w:rPr>
          <w:rFonts w:ascii="inherit" w:eastAsia="Times New Roman" w:hAnsi="inherit" w:cs="Open Sans"/>
          <w:i/>
          <w:iCs/>
          <w:color w:val="555555"/>
          <w:kern w:val="0"/>
          <w:sz w:val="24"/>
          <w:szCs w:val="24"/>
          <w:bdr w:val="none" w:sz="0" w:space="0" w:color="auto" w:frame="1"/>
          <w:lang w:eastAsia="de-AT"/>
          <w14:ligatures w14:val="none"/>
        </w:rPr>
        <w:t>Press</w:t>
      </w:r>
      <w:r w:rsidRPr="00D84BC6">
        <w:rPr>
          <w:rFonts w:ascii="Open Sans" w:eastAsia="Times New Roman" w:hAnsi="Open Sans" w:cs="Open Sans"/>
          <w:color w:val="555555"/>
          <w:kern w:val="0"/>
          <w:sz w:val="24"/>
          <w:szCs w:val="24"/>
          <w:lang w:eastAsia="de-AT"/>
          <w14:ligatures w14:val="none"/>
        </w:rPr>
        <w:t> .</w:t>
      </w:r>
    </w:p>
    <w:p w14:paraId="4CD0050C" w14:textId="77777777" w:rsidR="00D84BC6" w:rsidRPr="00D84BC6" w:rsidRDefault="00D84BC6" w:rsidP="00D84BC6">
      <w:pPr>
        <w:numPr>
          <w:ilvl w:val="0"/>
          <w:numId w:val="2"/>
        </w:numPr>
        <w:spacing w:after="0" w:line="388" w:lineRule="atLeast"/>
        <w:textAlignment w:val="baseline"/>
        <w:rPr>
          <w:rFonts w:ascii="Open Sans" w:eastAsia="Times New Roman" w:hAnsi="Open Sans" w:cs="Open Sans"/>
          <w:color w:val="555555"/>
          <w:kern w:val="0"/>
          <w:sz w:val="24"/>
          <w:szCs w:val="24"/>
          <w:lang w:eastAsia="de-AT"/>
          <w14:ligatures w14:val="none"/>
        </w:rPr>
      </w:pPr>
      <w:r w:rsidRPr="00D84BC6">
        <w:rPr>
          <w:rFonts w:ascii="Open Sans" w:eastAsia="Times New Roman" w:hAnsi="Open Sans" w:cs="Open Sans"/>
          <w:color w:val="555555"/>
          <w:kern w:val="0"/>
          <w:sz w:val="24"/>
          <w:szCs w:val="24"/>
          <w:lang w:eastAsia="de-AT"/>
          <w14:ligatures w14:val="none"/>
        </w:rPr>
        <w:t>Schnabel, I. (2023), „ </w:t>
      </w:r>
      <w:hyperlink r:id="rId52" w:history="1">
        <w:r w:rsidRPr="00D84BC6">
          <w:rPr>
            <w:rFonts w:ascii="Open Sans" w:eastAsia="Times New Roman" w:hAnsi="Open Sans" w:cs="Open Sans"/>
            <w:color w:val="2B7AB6"/>
            <w:kern w:val="0"/>
            <w:sz w:val="24"/>
            <w:szCs w:val="24"/>
            <w:bdr w:val="none" w:sz="0" w:space="0" w:color="auto" w:frame="1"/>
            <w:lang w:eastAsia="de-AT"/>
            <w14:ligatures w14:val="none"/>
          </w:rPr>
          <w:t>Die Risiken einer hartnäckigen Inflation</w:t>
        </w:r>
      </w:hyperlink>
      <w:r w:rsidRPr="00D84BC6">
        <w:rPr>
          <w:rFonts w:ascii="Open Sans" w:eastAsia="Times New Roman" w:hAnsi="Open Sans" w:cs="Open Sans"/>
          <w:color w:val="555555"/>
          <w:kern w:val="0"/>
          <w:sz w:val="24"/>
          <w:szCs w:val="24"/>
          <w:lang w:eastAsia="de-AT"/>
          <w14:ligatures w14:val="none"/>
        </w:rPr>
        <w:t> “, Rede auf der Konferenz der Euro50-Gruppe zum Thema „Neue Herausforderungen für die Wirtschafts- und Währungsunion im Postkrisenumfeld“, Luxemburg, 19. Juni.</w:t>
      </w:r>
    </w:p>
    <w:p w14:paraId="635E8CBD" w14:textId="77777777" w:rsidR="00D84BC6" w:rsidRPr="00D84BC6" w:rsidRDefault="00D84BC6" w:rsidP="00D84BC6">
      <w:pPr>
        <w:numPr>
          <w:ilvl w:val="0"/>
          <w:numId w:val="2"/>
        </w:numPr>
        <w:spacing w:after="0" w:line="388" w:lineRule="atLeast"/>
        <w:textAlignment w:val="baseline"/>
        <w:rPr>
          <w:rFonts w:ascii="Open Sans" w:eastAsia="Times New Roman" w:hAnsi="Open Sans" w:cs="Open Sans"/>
          <w:color w:val="555555"/>
          <w:kern w:val="0"/>
          <w:sz w:val="24"/>
          <w:szCs w:val="24"/>
          <w:lang w:eastAsia="de-AT"/>
          <w14:ligatures w14:val="none"/>
        </w:rPr>
      </w:pPr>
      <w:r w:rsidRPr="00D84BC6">
        <w:rPr>
          <w:rFonts w:ascii="Open Sans" w:eastAsia="Times New Roman" w:hAnsi="Open Sans" w:cs="Open Sans"/>
          <w:color w:val="555555"/>
          <w:kern w:val="0"/>
          <w:sz w:val="24"/>
          <w:szCs w:val="24"/>
          <w:lang w:eastAsia="de-AT"/>
          <w14:ligatures w14:val="none"/>
        </w:rPr>
        <w:t xml:space="preserve">Zur Rolle der Inflationserwartungen nach negativen Angebotsschocks siehe </w:t>
      </w:r>
      <w:proofErr w:type="spellStart"/>
      <w:r w:rsidRPr="00D84BC6">
        <w:rPr>
          <w:rFonts w:ascii="Open Sans" w:eastAsia="Times New Roman" w:hAnsi="Open Sans" w:cs="Open Sans"/>
          <w:color w:val="555555"/>
          <w:kern w:val="0"/>
          <w:sz w:val="24"/>
          <w:szCs w:val="24"/>
          <w:lang w:eastAsia="de-AT"/>
          <w14:ligatures w14:val="none"/>
        </w:rPr>
        <w:t>Tenreyro</w:t>
      </w:r>
      <w:proofErr w:type="spellEnd"/>
      <w:r w:rsidRPr="00D84BC6">
        <w:rPr>
          <w:rFonts w:ascii="Open Sans" w:eastAsia="Times New Roman" w:hAnsi="Open Sans" w:cs="Open Sans"/>
          <w:color w:val="555555"/>
          <w:kern w:val="0"/>
          <w:sz w:val="24"/>
          <w:szCs w:val="24"/>
          <w:lang w:eastAsia="de-AT"/>
          <w14:ligatures w14:val="none"/>
        </w:rPr>
        <w:t>, S. (2023), „</w:t>
      </w:r>
      <w:proofErr w:type="spellStart"/>
      <w:r w:rsidRPr="00D84BC6">
        <w:rPr>
          <w:rFonts w:ascii="Open Sans" w:eastAsia="Times New Roman" w:hAnsi="Open Sans" w:cs="Open Sans"/>
          <w:color w:val="555555"/>
          <w:kern w:val="0"/>
          <w:sz w:val="24"/>
          <w:szCs w:val="24"/>
          <w:lang w:eastAsia="de-AT"/>
          <w14:ligatures w14:val="none"/>
        </w:rPr>
        <w:t>Monetary</w:t>
      </w:r>
      <w:proofErr w:type="spellEnd"/>
      <w:r w:rsidRPr="00D84BC6">
        <w:rPr>
          <w:rFonts w:ascii="Open Sans" w:eastAsia="Times New Roman" w:hAnsi="Open Sans" w:cs="Open Sans"/>
          <w:color w:val="555555"/>
          <w:kern w:val="0"/>
          <w:sz w:val="24"/>
          <w:szCs w:val="24"/>
          <w:lang w:eastAsia="de-AT"/>
          <w14:ligatures w14:val="none"/>
        </w:rPr>
        <w:t xml:space="preserve"> Policy in </w:t>
      </w:r>
      <w:proofErr w:type="spellStart"/>
      <w:r w:rsidRPr="00D84BC6">
        <w:rPr>
          <w:rFonts w:ascii="Open Sans" w:eastAsia="Times New Roman" w:hAnsi="Open Sans" w:cs="Open Sans"/>
          <w:color w:val="555555"/>
          <w:kern w:val="0"/>
          <w:sz w:val="24"/>
          <w:szCs w:val="24"/>
          <w:lang w:eastAsia="de-AT"/>
          <w14:ligatures w14:val="none"/>
        </w:rPr>
        <w:t>the</w:t>
      </w:r>
      <w:proofErr w:type="spellEnd"/>
      <w:r w:rsidRPr="00D84BC6">
        <w:rPr>
          <w:rFonts w:ascii="Open Sans" w:eastAsia="Times New Roman" w:hAnsi="Open Sans" w:cs="Open Sans"/>
          <w:color w:val="555555"/>
          <w:kern w:val="0"/>
          <w:sz w:val="24"/>
          <w:szCs w:val="24"/>
          <w:lang w:eastAsia="de-AT"/>
          <w14:ligatures w14:val="none"/>
        </w:rPr>
        <w:t xml:space="preserve"> Face </w:t>
      </w:r>
      <w:proofErr w:type="spellStart"/>
      <w:r w:rsidRPr="00D84BC6">
        <w:rPr>
          <w:rFonts w:ascii="Open Sans" w:eastAsia="Times New Roman" w:hAnsi="Open Sans" w:cs="Open Sans"/>
          <w:color w:val="555555"/>
          <w:kern w:val="0"/>
          <w:sz w:val="24"/>
          <w:szCs w:val="24"/>
          <w:lang w:eastAsia="de-AT"/>
          <w14:ligatures w14:val="none"/>
        </w:rPr>
        <w:t>of</w:t>
      </w:r>
      <w:proofErr w:type="spellEnd"/>
      <w:r w:rsidRPr="00D84BC6">
        <w:rPr>
          <w:rFonts w:ascii="Open Sans" w:eastAsia="Times New Roman" w:hAnsi="Open Sans" w:cs="Open Sans"/>
          <w:color w:val="555555"/>
          <w:kern w:val="0"/>
          <w:sz w:val="24"/>
          <w:szCs w:val="24"/>
          <w:lang w:eastAsia="de-AT"/>
          <w14:ligatures w14:val="none"/>
        </w:rPr>
        <w:t xml:space="preserve"> Supply Shocks: </w:t>
      </w:r>
      <w:proofErr w:type="spellStart"/>
      <w:r w:rsidRPr="00D84BC6">
        <w:rPr>
          <w:rFonts w:ascii="Open Sans" w:eastAsia="Times New Roman" w:hAnsi="Open Sans" w:cs="Open Sans"/>
          <w:color w:val="555555"/>
          <w:kern w:val="0"/>
          <w:sz w:val="24"/>
          <w:szCs w:val="24"/>
          <w:lang w:eastAsia="de-AT"/>
          <w14:ligatures w14:val="none"/>
        </w:rPr>
        <w:t>the</w:t>
      </w:r>
      <w:proofErr w:type="spellEnd"/>
      <w:r w:rsidRPr="00D84BC6">
        <w:rPr>
          <w:rFonts w:ascii="Open Sans" w:eastAsia="Times New Roman" w:hAnsi="Open Sans" w:cs="Open Sans"/>
          <w:color w:val="555555"/>
          <w:kern w:val="0"/>
          <w:sz w:val="24"/>
          <w:szCs w:val="24"/>
          <w:lang w:eastAsia="de-AT"/>
          <w14:ligatures w14:val="none"/>
        </w:rPr>
        <w:t xml:space="preserve"> </w:t>
      </w:r>
      <w:proofErr w:type="spellStart"/>
      <w:r w:rsidRPr="00D84BC6">
        <w:rPr>
          <w:rFonts w:ascii="Open Sans" w:eastAsia="Times New Roman" w:hAnsi="Open Sans" w:cs="Open Sans"/>
          <w:color w:val="555555"/>
          <w:kern w:val="0"/>
          <w:sz w:val="24"/>
          <w:szCs w:val="24"/>
          <w:lang w:eastAsia="de-AT"/>
          <w14:ligatures w14:val="none"/>
        </w:rPr>
        <w:t>Role</w:t>
      </w:r>
      <w:proofErr w:type="spellEnd"/>
      <w:r w:rsidRPr="00D84BC6">
        <w:rPr>
          <w:rFonts w:ascii="Open Sans" w:eastAsia="Times New Roman" w:hAnsi="Open Sans" w:cs="Open Sans"/>
          <w:color w:val="555555"/>
          <w:kern w:val="0"/>
          <w:sz w:val="24"/>
          <w:szCs w:val="24"/>
          <w:lang w:eastAsia="de-AT"/>
          <w14:ligatures w14:val="none"/>
        </w:rPr>
        <w:t xml:space="preserve"> </w:t>
      </w:r>
      <w:proofErr w:type="spellStart"/>
      <w:r w:rsidRPr="00D84BC6">
        <w:rPr>
          <w:rFonts w:ascii="Open Sans" w:eastAsia="Times New Roman" w:hAnsi="Open Sans" w:cs="Open Sans"/>
          <w:color w:val="555555"/>
          <w:kern w:val="0"/>
          <w:sz w:val="24"/>
          <w:szCs w:val="24"/>
          <w:lang w:eastAsia="de-AT"/>
          <w14:ligatures w14:val="none"/>
        </w:rPr>
        <w:t>of</w:t>
      </w:r>
      <w:proofErr w:type="spellEnd"/>
      <w:r w:rsidRPr="00D84BC6">
        <w:rPr>
          <w:rFonts w:ascii="Open Sans" w:eastAsia="Times New Roman" w:hAnsi="Open Sans" w:cs="Open Sans"/>
          <w:color w:val="555555"/>
          <w:kern w:val="0"/>
          <w:sz w:val="24"/>
          <w:szCs w:val="24"/>
          <w:lang w:eastAsia="de-AT"/>
          <w14:ligatures w14:val="none"/>
        </w:rPr>
        <w:t xml:space="preserve"> Inflation </w:t>
      </w:r>
      <w:proofErr w:type="spellStart"/>
      <w:r w:rsidRPr="00D84BC6">
        <w:rPr>
          <w:rFonts w:ascii="Open Sans" w:eastAsia="Times New Roman" w:hAnsi="Open Sans" w:cs="Open Sans"/>
          <w:color w:val="555555"/>
          <w:kern w:val="0"/>
          <w:sz w:val="24"/>
          <w:szCs w:val="24"/>
          <w:lang w:eastAsia="de-AT"/>
          <w14:ligatures w14:val="none"/>
        </w:rPr>
        <w:t>Expected</w:t>
      </w:r>
      <w:proofErr w:type="spellEnd"/>
      <w:r w:rsidRPr="00D84BC6">
        <w:rPr>
          <w:rFonts w:ascii="Open Sans" w:eastAsia="Times New Roman" w:hAnsi="Open Sans" w:cs="Open Sans"/>
          <w:color w:val="555555"/>
          <w:kern w:val="0"/>
          <w:sz w:val="24"/>
          <w:szCs w:val="24"/>
          <w:lang w:eastAsia="de-AT"/>
          <w14:ligatures w14:val="none"/>
        </w:rPr>
        <w:t xml:space="preserve">“, </w:t>
      </w:r>
      <w:proofErr w:type="gramStart"/>
      <w:r w:rsidRPr="00D84BC6">
        <w:rPr>
          <w:rFonts w:ascii="Open Sans" w:eastAsia="Times New Roman" w:hAnsi="Open Sans" w:cs="Open Sans"/>
          <w:color w:val="555555"/>
          <w:kern w:val="0"/>
          <w:sz w:val="24"/>
          <w:szCs w:val="24"/>
          <w:lang w:eastAsia="de-AT"/>
          <w14:ligatures w14:val="none"/>
        </w:rPr>
        <w:t>ECB Forum</w:t>
      </w:r>
      <w:proofErr w:type="gramEnd"/>
      <w:r w:rsidRPr="00D84BC6">
        <w:rPr>
          <w:rFonts w:ascii="Open Sans" w:eastAsia="Times New Roman" w:hAnsi="Open Sans" w:cs="Open Sans"/>
          <w:color w:val="555555"/>
          <w:kern w:val="0"/>
          <w:sz w:val="24"/>
          <w:szCs w:val="24"/>
          <w:lang w:eastAsia="de-AT"/>
          <w14:ligatures w14:val="none"/>
        </w:rPr>
        <w:t xml:space="preserve"> on Central Banking, Juni.</w:t>
      </w:r>
    </w:p>
    <w:p w14:paraId="3D4A1C0E" w14:textId="77777777" w:rsidR="00D84BC6" w:rsidRPr="00D84BC6" w:rsidRDefault="00D84BC6" w:rsidP="00D84BC6">
      <w:pPr>
        <w:numPr>
          <w:ilvl w:val="0"/>
          <w:numId w:val="2"/>
        </w:numPr>
        <w:spacing w:after="0" w:line="388" w:lineRule="atLeast"/>
        <w:textAlignment w:val="baseline"/>
        <w:rPr>
          <w:rFonts w:ascii="Open Sans" w:eastAsia="Times New Roman" w:hAnsi="Open Sans" w:cs="Open Sans"/>
          <w:color w:val="555555"/>
          <w:kern w:val="0"/>
          <w:sz w:val="24"/>
          <w:szCs w:val="24"/>
          <w:lang w:eastAsia="de-AT"/>
          <w14:ligatures w14:val="none"/>
        </w:rPr>
      </w:pPr>
      <w:proofErr w:type="spellStart"/>
      <w:r w:rsidRPr="00D84BC6">
        <w:rPr>
          <w:rFonts w:ascii="Open Sans" w:eastAsia="Times New Roman" w:hAnsi="Open Sans" w:cs="Open Sans"/>
          <w:color w:val="555555"/>
          <w:kern w:val="0"/>
          <w:sz w:val="24"/>
          <w:szCs w:val="24"/>
          <w:lang w:eastAsia="de-AT"/>
          <w14:ligatures w14:val="none"/>
        </w:rPr>
        <w:t>Maćkowiak</w:t>
      </w:r>
      <w:proofErr w:type="spellEnd"/>
      <w:r w:rsidRPr="00D84BC6">
        <w:rPr>
          <w:rFonts w:ascii="Open Sans" w:eastAsia="Times New Roman" w:hAnsi="Open Sans" w:cs="Open Sans"/>
          <w:color w:val="555555"/>
          <w:kern w:val="0"/>
          <w:sz w:val="24"/>
          <w:szCs w:val="24"/>
          <w:lang w:eastAsia="de-AT"/>
          <w14:ligatures w14:val="none"/>
        </w:rPr>
        <w:t>, B. et al. (2021), „ </w:t>
      </w:r>
      <w:hyperlink r:id="rId53" w:history="1">
        <w:r w:rsidRPr="00D84BC6">
          <w:rPr>
            <w:rFonts w:ascii="Open Sans" w:eastAsia="Times New Roman" w:hAnsi="Open Sans" w:cs="Open Sans"/>
            <w:color w:val="2B7AB6"/>
            <w:kern w:val="0"/>
            <w:sz w:val="24"/>
            <w:szCs w:val="24"/>
            <w:bdr w:val="none" w:sz="0" w:space="0" w:color="auto" w:frame="1"/>
            <w:lang w:eastAsia="de-AT"/>
            <w14:ligatures w14:val="none"/>
          </w:rPr>
          <w:t>Rationale Unaufmerksamkeit: eine Überprüfung</w:t>
        </w:r>
      </w:hyperlink>
      <w:r w:rsidRPr="00D84BC6">
        <w:rPr>
          <w:rFonts w:ascii="Open Sans" w:eastAsia="Times New Roman" w:hAnsi="Open Sans" w:cs="Open Sans"/>
          <w:color w:val="555555"/>
          <w:kern w:val="0"/>
          <w:sz w:val="24"/>
          <w:szCs w:val="24"/>
          <w:lang w:eastAsia="de-AT"/>
          <w14:ligatures w14:val="none"/>
        </w:rPr>
        <w:t> “, </w:t>
      </w:r>
      <w:r w:rsidRPr="00D84BC6">
        <w:rPr>
          <w:rFonts w:ascii="inherit" w:eastAsia="Times New Roman" w:hAnsi="inherit" w:cs="Open Sans"/>
          <w:i/>
          <w:iCs/>
          <w:color w:val="555555"/>
          <w:kern w:val="0"/>
          <w:sz w:val="24"/>
          <w:szCs w:val="24"/>
          <w:bdr w:val="none" w:sz="0" w:space="0" w:color="auto" w:frame="1"/>
          <w:lang w:eastAsia="de-AT"/>
          <w14:ligatures w14:val="none"/>
        </w:rPr>
        <w:t>Working Paper Series,</w:t>
      </w:r>
      <w:r w:rsidRPr="00D84BC6">
        <w:rPr>
          <w:rFonts w:ascii="Open Sans" w:eastAsia="Times New Roman" w:hAnsi="Open Sans" w:cs="Open Sans"/>
          <w:color w:val="555555"/>
          <w:kern w:val="0"/>
          <w:sz w:val="24"/>
          <w:szCs w:val="24"/>
          <w:lang w:eastAsia="de-AT"/>
          <w14:ligatures w14:val="none"/>
        </w:rPr>
        <w:t> Nr. 2570, EZB, Juni.</w:t>
      </w:r>
    </w:p>
    <w:p w14:paraId="0AC7C158" w14:textId="77777777" w:rsidR="00D84BC6" w:rsidRDefault="00D84BC6" w:rsidP="00D84BC6">
      <w:pPr>
        <w:pBdr>
          <w:between w:val="threeDEngrave" w:sz="24" w:space="1" w:color="1F3864" w:themeColor="accent1" w:themeShade="80"/>
        </w:pBdr>
      </w:pPr>
    </w:p>
    <w:p w14:paraId="71C78256" w14:textId="3DE6F85F" w:rsidR="006B4E28" w:rsidRDefault="00BB766D" w:rsidP="00D84BC6">
      <w:pPr>
        <w:pBdr>
          <w:between w:val="threeDEngrave" w:sz="24" w:space="1" w:color="1F3864" w:themeColor="accent1" w:themeShade="80"/>
        </w:pBdr>
      </w:pPr>
      <w:hyperlink r:id="rId54" w:history="1">
        <w:r w:rsidRPr="00BD2415">
          <w:rPr>
            <w:rStyle w:val="Hyperlink"/>
          </w:rPr>
          <w:t>https://www.dertreasurer.de/news/finanzierung-corporate-finance/so-wirkt-sich-der-ezb-klimascore-aus-2027481/</w:t>
        </w:r>
      </w:hyperlink>
    </w:p>
    <w:p w14:paraId="50D932E4" w14:textId="77777777" w:rsidR="00BB766D" w:rsidRDefault="00BB766D" w:rsidP="00D84BC6">
      <w:pPr>
        <w:pBdr>
          <w:between w:val="threeDEngrave" w:sz="24" w:space="1" w:color="1F3864" w:themeColor="accent1" w:themeShade="80"/>
        </w:pBdr>
      </w:pPr>
    </w:p>
    <w:sectPr w:rsidR="00BB766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inherit">
    <w:altName w:val="Cambria"/>
    <w:panose1 w:val="00000000000000000000"/>
    <w:charset w:val="00"/>
    <w:family w:val="roman"/>
    <w:notTrueType/>
    <w:pitch w:val="default"/>
  </w:font>
  <w:font w:name="Open Sans">
    <w:charset w:val="00"/>
    <w:family w:val="swiss"/>
    <w:pitch w:val="variable"/>
    <w:sig w:usb0="E00002EF" w:usb1="4000205B" w:usb2="00000028"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FF2FFB"/>
    <w:multiLevelType w:val="multilevel"/>
    <w:tmpl w:val="CCC056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74192DCD"/>
    <w:multiLevelType w:val="multilevel"/>
    <w:tmpl w:val="A50EB4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251424245">
    <w:abstractNumId w:val="1"/>
  </w:num>
  <w:num w:numId="2" w16cid:durableId="166600672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E5AF1"/>
    <w:rsid w:val="00585B18"/>
    <w:rsid w:val="006B4E28"/>
    <w:rsid w:val="008E5AF1"/>
    <w:rsid w:val="00BB766D"/>
    <w:rsid w:val="00D84BC6"/>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500B86"/>
  <w15:chartTrackingRefBased/>
  <w15:docId w15:val="{043DD744-BFFA-4290-85EA-D9AC5321DD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de-A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basedOn w:val="Absatz-Standardschriftart"/>
    <w:uiPriority w:val="99"/>
    <w:unhideWhenUsed/>
    <w:rsid w:val="00585B18"/>
    <w:rPr>
      <w:color w:val="0563C1" w:themeColor="hyperlink"/>
      <w:u w:val="single"/>
    </w:rPr>
  </w:style>
  <w:style w:type="character" w:styleId="NichtaufgelsteErwhnung">
    <w:name w:val="Unresolved Mention"/>
    <w:basedOn w:val="Absatz-Standardschriftart"/>
    <w:uiPriority w:val="99"/>
    <w:semiHidden/>
    <w:unhideWhenUsed/>
    <w:rsid w:val="00585B1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8439638">
      <w:bodyDiv w:val="1"/>
      <w:marLeft w:val="0"/>
      <w:marRight w:val="0"/>
      <w:marTop w:val="0"/>
      <w:marBottom w:val="0"/>
      <w:divBdr>
        <w:top w:val="none" w:sz="0" w:space="0" w:color="auto"/>
        <w:left w:val="none" w:sz="0" w:space="0" w:color="auto"/>
        <w:bottom w:val="none" w:sz="0" w:space="0" w:color="auto"/>
        <w:right w:val="none" w:sz="0" w:space="0" w:color="auto"/>
      </w:divBdr>
    </w:div>
    <w:div w:id="336537173">
      <w:bodyDiv w:val="1"/>
      <w:marLeft w:val="0"/>
      <w:marRight w:val="0"/>
      <w:marTop w:val="0"/>
      <w:marBottom w:val="0"/>
      <w:divBdr>
        <w:top w:val="none" w:sz="0" w:space="0" w:color="auto"/>
        <w:left w:val="none" w:sz="0" w:space="0" w:color="auto"/>
        <w:bottom w:val="none" w:sz="0" w:space="0" w:color="auto"/>
        <w:right w:val="none" w:sz="0" w:space="0" w:color="auto"/>
      </w:divBdr>
      <w:divsChild>
        <w:div w:id="504370325">
          <w:marLeft w:val="0"/>
          <w:marRight w:val="0"/>
          <w:marTop w:val="0"/>
          <w:marBottom w:val="525"/>
          <w:divBdr>
            <w:top w:val="none" w:sz="0" w:space="0" w:color="auto"/>
            <w:left w:val="none" w:sz="0" w:space="0" w:color="auto"/>
            <w:bottom w:val="none" w:sz="0" w:space="0" w:color="auto"/>
            <w:right w:val="none" w:sz="0" w:space="0" w:color="auto"/>
          </w:divBdr>
        </w:div>
        <w:div w:id="420489372">
          <w:marLeft w:val="0"/>
          <w:marRight w:val="0"/>
          <w:marTop w:val="450"/>
          <w:marBottom w:val="0"/>
          <w:divBdr>
            <w:top w:val="none" w:sz="0" w:space="0" w:color="auto"/>
            <w:left w:val="none" w:sz="0" w:space="0" w:color="auto"/>
            <w:bottom w:val="none" w:sz="0" w:space="0" w:color="auto"/>
            <w:right w:val="none" w:sz="0" w:space="0" w:color="auto"/>
          </w:divBdr>
        </w:div>
        <w:div w:id="290525882">
          <w:marLeft w:val="0"/>
          <w:marRight w:val="0"/>
          <w:marTop w:val="0"/>
          <w:marBottom w:val="150"/>
          <w:divBdr>
            <w:top w:val="none" w:sz="0" w:space="0" w:color="auto"/>
            <w:left w:val="none" w:sz="0" w:space="0" w:color="auto"/>
            <w:bottom w:val="none" w:sz="0" w:space="0" w:color="auto"/>
            <w:right w:val="none" w:sz="0" w:space="0" w:color="auto"/>
          </w:divBdr>
          <w:divsChild>
            <w:div w:id="1686398991">
              <w:marLeft w:val="0"/>
              <w:marRight w:val="0"/>
              <w:marTop w:val="0"/>
              <w:marBottom w:val="0"/>
              <w:divBdr>
                <w:top w:val="none" w:sz="0" w:space="0" w:color="auto"/>
                <w:left w:val="none" w:sz="0" w:space="0" w:color="auto"/>
                <w:bottom w:val="none" w:sz="0" w:space="0" w:color="auto"/>
                <w:right w:val="none" w:sz="0" w:space="0" w:color="auto"/>
              </w:divBdr>
              <w:divsChild>
                <w:div w:id="158428657">
                  <w:marLeft w:val="0"/>
                  <w:marRight w:val="0"/>
                  <w:marTop w:val="150"/>
                  <w:marBottom w:val="150"/>
                  <w:divBdr>
                    <w:top w:val="none" w:sz="0" w:space="0" w:color="auto"/>
                    <w:left w:val="none" w:sz="0" w:space="0" w:color="auto"/>
                    <w:bottom w:val="none" w:sz="0" w:space="0" w:color="auto"/>
                    <w:right w:val="single" w:sz="2" w:space="8" w:color="auto"/>
                  </w:divBdr>
                </w:div>
              </w:divsChild>
            </w:div>
            <w:div w:id="586229622">
              <w:marLeft w:val="0"/>
              <w:marRight w:val="0"/>
              <w:marTop w:val="0"/>
              <w:marBottom w:val="0"/>
              <w:divBdr>
                <w:top w:val="none" w:sz="0" w:space="0" w:color="auto"/>
                <w:left w:val="none" w:sz="0" w:space="0" w:color="auto"/>
                <w:bottom w:val="none" w:sz="0" w:space="0" w:color="auto"/>
                <w:right w:val="none" w:sz="0" w:space="0" w:color="auto"/>
              </w:divBdr>
            </w:div>
            <w:div w:id="2130077813">
              <w:marLeft w:val="0"/>
              <w:marRight w:val="0"/>
              <w:marTop w:val="0"/>
              <w:marBottom w:val="0"/>
              <w:divBdr>
                <w:top w:val="none" w:sz="0" w:space="0" w:color="auto"/>
                <w:left w:val="none" w:sz="0" w:space="0" w:color="auto"/>
                <w:bottom w:val="none" w:sz="0" w:space="0" w:color="auto"/>
                <w:right w:val="none" w:sz="0" w:space="0" w:color="auto"/>
              </w:divBdr>
            </w:div>
            <w:div w:id="18943915">
              <w:marLeft w:val="0"/>
              <w:marRight w:val="0"/>
              <w:marTop w:val="150"/>
              <w:marBottom w:val="300"/>
              <w:divBdr>
                <w:top w:val="none" w:sz="0" w:space="0" w:color="auto"/>
                <w:left w:val="none" w:sz="0" w:space="0" w:color="auto"/>
                <w:bottom w:val="none" w:sz="0" w:space="0" w:color="auto"/>
                <w:right w:val="none" w:sz="0" w:space="0" w:color="auto"/>
              </w:divBdr>
            </w:div>
          </w:divsChild>
        </w:div>
        <w:div w:id="34813243">
          <w:marLeft w:val="0"/>
          <w:marRight w:val="0"/>
          <w:marTop w:val="450"/>
          <w:marBottom w:val="0"/>
          <w:divBdr>
            <w:top w:val="single" w:sz="6" w:space="15" w:color="EEEEEE"/>
            <w:left w:val="none" w:sz="0" w:space="31" w:color="auto"/>
            <w:bottom w:val="none" w:sz="0" w:space="15" w:color="auto"/>
            <w:right w:val="none" w:sz="0" w:space="31" w:color="auto"/>
          </w:divBdr>
        </w:div>
      </w:divsChild>
    </w:div>
    <w:div w:id="1578978614">
      <w:bodyDiv w:val="1"/>
      <w:marLeft w:val="0"/>
      <w:marRight w:val="0"/>
      <w:marTop w:val="0"/>
      <w:marBottom w:val="0"/>
      <w:divBdr>
        <w:top w:val="none" w:sz="0" w:space="0" w:color="auto"/>
        <w:left w:val="none" w:sz="0" w:space="0" w:color="auto"/>
        <w:bottom w:val="none" w:sz="0" w:space="0" w:color="auto"/>
        <w:right w:val="none" w:sz="0" w:space="0" w:color="auto"/>
      </w:divBdr>
      <w:divsChild>
        <w:div w:id="1532301292">
          <w:marLeft w:val="0"/>
          <w:marRight w:val="0"/>
          <w:marTop w:val="0"/>
          <w:marBottom w:val="525"/>
          <w:divBdr>
            <w:top w:val="none" w:sz="0" w:space="0" w:color="auto"/>
            <w:left w:val="none" w:sz="0" w:space="0" w:color="auto"/>
            <w:bottom w:val="none" w:sz="0" w:space="0" w:color="auto"/>
            <w:right w:val="none" w:sz="0" w:space="0" w:color="auto"/>
          </w:divBdr>
        </w:div>
        <w:div w:id="1607543726">
          <w:marLeft w:val="0"/>
          <w:marRight w:val="0"/>
          <w:marTop w:val="450"/>
          <w:marBottom w:val="0"/>
          <w:divBdr>
            <w:top w:val="none" w:sz="0" w:space="0" w:color="auto"/>
            <w:left w:val="none" w:sz="0" w:space="0" w:color="auto"/>
            <w:bottom w:val="none" w:sz="0" w:space="0" w:color="auto"/>
            <w:right w:val="none" w:sz="0" w:space="0" w:color="auto"/>
          </w:divBdr>
        </w:div>
        <w:div w:id="1045132697">
          <w:marLeft w:val="0"/>
          <w:marRight w:val="0"/>
          <w:marTop w:val="0"/>
          <w:marBottom w:val="150"/>
          <w:divBdr>
            <w:top w:val="none" w:sz="0" w:space="0" w:color="auto"/>
            <w:left w:val="none" w:sz="0" w:space="0" w:color="auto"/>
            <w:bottom w:val="none" w:sz="0" w:space="0" w:color="auto"/>
            <w:right w:val="none" w:sz="0" w:space="0" w:color="auto"/>
          </w:divBdr>
          <w:divsChild>
            <w:div w:id="1411737871">
              <w:marLeft w:val="0"/>
              <w:marRight w:val="0"/>
              <w:marTop w:val="0"/>
              <w:marBottom w:val="0"/>
              <w:divBdr>
                <w:top w:val="none" w:sz="0" w:space="0" w:color="auto"/>
                <w:left w:val="none" w:sz="0" w:space="0" w:color="auto"/>
                <w:bottom w:val="none" w:sz="0" w:space="0" w:color="auto"/>
                <w:right w:val="none" w:sz="0" w:space="0" w:color="auto"/>
              </w:divBdr>
              <w:divsChild>
                <w:div w:id="1297105149">
                  <w:marLeft w:val="0"/>
                  <w:marRight w:val="0"/>
                  <w:marTop w:val="150"/>
                  <w:marBottom w:val="150"/>
                  <w:divBdr>
                    <w:top w:val="none" w:sz="0" w:space="0" w:color="auto"/>
                    <w:left w:val="none" w:sz="0" w:space="0" w:color="auto"/>
                    <w:bottom w:val="none" w:sz="0" w:space="0" w:color="auto"/>
                    <w:right w:val="single" w:sz="2" w:space="8" w:color="auto"/>
                  </w:divBdr>
                </w:div>
              </w:divsChild>
            </w:div>
            <w:div w:id="2125614161">
              <w:marLeft w:val="0"/>
              <w:marRight w:val="0"/>
              <w:marTop w:val="0"/>
              <w:marBottom w:val="0"/>
              <w:divBdr>
                <w:top w:val="none" w:sz="0" w:space="0" w:color="auto"/>
                <w:left w:val="none" w:sz="0" w:space="0" w:color="auto"/>
                <w:bottom w:val="none" w:sz="0" w:space="0" w:color="auto"/>
                <w:right w:val="none" w:sz="0" w:space="0" w:color="auto"/>
              </w:divBdr>
            </w:div>
            <w:div w:id="1663584029">
              <w:marLeft w:val="0"/>
              <w:marRight w:val="0"/>
              <w:marTop w:val="0"/>
              <w:marBottom w:val="0"/>
              <w:divBdr>
                <w:top w:val="none" w:sz="0" w:space="0" w:color="auto"/>
                <w:left w:val="none" w:sz="0" w:space="0" w:color="auto"/>
                <w:bottom w:val="none" w:sz="0" w:space="0" w:color="auto"/>
                <w:right w:val="none" w:sz="0" w:space="0" w:color="auto"/>
              </w:divBdr>
            </w:div>
            <w:div w:id="1370374403">
              <w:marLeft w:val="0"/>
              <w:marRight w:val="0"/>
              <w:marTop w:val="150"/>
              <w:marBottom w:val="300"/>
              <w:divBdr>
                <w:top w:val="none" w:sz="0" w:space="0" w:color="auto"/>
                <w:left w:val="none" w:sz="0" w:space="0" w:color="auto"/>
                <w:bottom w:val="none" w:sz="0" w:space="0" w:color="auto"/>
                <w:right w:val="none" w:sz="0" w:space="0" w:color="auto"/>
              </w:divBdr>
            </w:div>
          </w:divsChild>
        </w:div>
        <w:div w:id="2147308379">
          <w:marLeft w:val="0"/>
          <w:marRight w:val="0"/>
          <w:marTop w:val="450"/>
          <w:marBottom w:val="0"/>
          <w:divBdr>
            <w:top w:val="single" w:sz="6" w:space="15" w:color="EEEEEE"/>
            <w:left w:val="none" w:sz="0" w:space="31" w:color="auto"/>
            <w:bottom w:val="none" w:sz="0" w:space="15" w:color="auto"/>
            <w:right w:val="none" w:sz="0" w:space="31" w:color="auto"/>
          </w:divBdr>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ecb.europa.eu/press/key/date/2023/html/ecb.sp230110~21c89bef1b.en.html" TargetMode="External"/><Relationship Id="rId18" Type="http://schemas.openxmlformats.org/officeDocument/2006/relationships/hyperlink" Target="https://www.ecb.europa.eu/press/key/date/2023/html/ecb.sp230110~21c89bef1b.en.html" TargetMode="External"/><Relationship Id="rId26" Type="http://schemas.openxmlformats.org/officeDocument/2006/relationships/hyperlink" Target="https://www.ecb.europa.eu/press/key/date/2022/html/ecb.sp220317_2~dbb3582f0a.en.html" TargetMode="External"/><Relationship Id="rId39" Type="http://schemas.openxmlformats.org/officeDocument/2006/relationships/hyperlink" Target="https://www.ecb.europa.eu/press/key/date/2023/html/ecb.sp231102_1~4bb07ebef7.en.html" TargetMode="External"/><Relationship Id="rId21" Type="http://schemas.openxmlformats.org/officeDocument/2006/relationships/hyperlink" Target="https://www.ecb.europa.eu/press/key/date/2023/html/ecb.sp230110_annex~5aa200e19d.en.pdf" TargetMode="External"/><Relationship Id="rId34" Type="http://schemas.openxmlformats.org/officeDocument/2006/relationships/hyperlink" Target="https://www.ecb.europa.eu/press/pr/date/2022/html/ecb.pr220919~fae53c59bd.en.html" TargetMode="External"/><Relationship Id="rId42" Type="http://schemas.openxmlformats.org/officeDocument/2006/relationships/hyperlink" Target="https://www.ecb.europa.eu/press/key/date/2023/html/ecb.sp231102_1~4bb07ebef7.en.html" TargetMode="External"/><Relationship Id="rId47" Type="http://schemas.openxmlformats.org/officeDocument/2006/relationships/hyperlink" Target="https://www.ecb.europa.eu/press/key/date/2023/html/ecb.sp231102_1_annex~8de4083d81.en.pdf" TargetMode="External"/><Relationship Id="rId50" Type="http://schemas.openxmlformats.org/officeDocument/2006/relationships/hyperlink" Target="https://www.imf.org/en/Publications/WP/Issues/2017/07/18/A-Crude-Shock-Explaining-the-Impact-of-the-2014-16-Oil-Price-Decline-Across-Exporters-44966" TargetMode="External"/><Relationship Id="rId55" Type="http://schemas.openxmlformats.org/officeDocument/2006/relationships/fontTable" Target="fontTable.xml"/><Relationship Id="rId7" Type="http://schemas.openxmlformats.org/officeDocument/2006/relationships/hyperlink" Target="https://www.ecb.europa.eu/press/key/date/2023/html/ecb.sp230110~21c89bef1b.en.html" TargetMode="External"/><Relationship Id="rId2" Type="http://schemas.openxmlformats.org/officeDocument/2006/relationships/styles" Target="styles.xml"/><Relationship Id="rId16" Type="http://schemas.openxmlformats.org/officeDocument/2006/relationships/hyperlink" Target="https://www.ecb.europa.eu/press/key/date/2023/html/ecb.sp230110~21c89bef1b.en.html" TargetMode="External"/><Relationship Id="rId29" Type="http://schemas.openxmlformats.org/officeDocument/2006/relationships/hyperlink" Target="https://www.ecb.europa.eu/press/key/date/2022/html/ecb.sp221124~fa733bc432.en.html" TargetMode="External"/><Relationship Id="rId11" Type="http://schemas.openxmlformats.org/officeDocument/2006/relationships/hyperlink" Target="https://www.ecb.europa.eu/press/key/date/2023/html/ecb.sp230110~21c89bef1b.en.html" TargetMode="External"/><Relationship Id="rId24" Type="http://schemas.openxmlformats.org/officeDocument/2006/relationships/hyperlink" Target="https://www.cepweb.org/wp-content/uploads/CEP_DN_Interest_Rates_Energy_Prices.pdf" TargetMode="External"/><Relationship Id="rId32" Type="http://schemas.openxmlformats.org/officeDocument/2006/relationships/hyperlink" Target="https://www.ecb.europa.eu/press/pr/date/2021/html/ecb.pr210708_1~f104919225.en.html" TargetMode="External"/><Relationship Id="rId37" Type="http://schemas.openxmlformats.org/officeDocument/2006/relationships/hyperlink" Target="https://web.stanford.edu/~piazzesi/How_unconventional_is_green_monetary_policy.pdf" TargetMode="External"/><Relationship Id="rId40" Type="http://schemas.openxmlformats.org/officeDocument/2006/relationships/hyperlink" Target="https://www.ecb.europa.eu/press/key/date/2023/html/ecb.sp231102_1~4bb07ebef7.en.html" TargetMode="External"/><Relationship Id="rId45" Type="http://schemas.openxmlformats.org/officeDocument/2006/relationships/hyperlink" Target="https://www.ecb.europa.eu/press/key/date/2023/html/ecb.sp231102_1~4bb07ebef7.en.html" TargetMode="External"/><Relationship Id="rId53" Type="http://schemas.openxmlformats.org/officeDocument/2006/relationships/hyperlink" Target="https://www.ecb.europa.eu/pub/pdf/scpwps/ecb.wp2570~a3979fbfa5.en.pdf" TargetMode="External"/><Relationship Id="rId5" Type="http://schemas.openxmlformats.org/officeDocument/2006/relationships/hyperlink" Target="https://de.wikipedia.org/wiki/Isabel_Schnabel" TargetMode="External"/><Relationship Id="rId10" Type="http://schemas.openxmlformats.org/officeDocument/2006/relationships/hyperlink" Target="https://www.ecb.europa.eu/press/key/date/2023/html/ecb.sp230110~21c89bef1b.en.html" TargetMode="External"/><Relationship Id="rId19" Type="http://schemas.openxmlformats.org/officeDocument/2006/relationships/hyperlink" Target="https://www.ecb.europa.eu/press/key/date/2023/html/ecb.sp230110~21c89bef1b.en.html" TargetMode="External"/><Relationship Id="rId31" Type="http://schemas.openxmlformats.org/officeDocument/2006/relationships/hyperlink" Target="https://finance.ec.europa.eu/publications/capital-markets-union-clearing-insolvency-and-listing-package_en" TargetMode="External"/><Relationship Id="rId44" Type="http://schemas.openxmlformats.org/officeDocument/2006/relationships/hyperlink" Target="https://www.ecb.europa.eu/press/key/date/2023/html/ecb.sp231102_1~4bb07ebef7.en.html" TargetMode="External"/><Relationship Id="rId52" Type="http://schemas.openxmlformats.org/officeDocument/2006/relationships/hyperlink" Target="https://www.ecb.europa.eu/press/key/date/2023/html/ecb.sp230619_1~2c0bdf2422.en.html" TargetMode="External"/><Relationship Id="rId4" Type="http://schemas.openxmlformats.org/officeDocument/2006/relationships/webSettings" Target="webSettings.xml"/><Relationship Id="rId9" Type="http://schemas.openxmlformats.org/officeDocument/2006/relationships/hyperlink" Target="https://www.ecb.europa.eu/press/key/date/2023/html/ecb.sp230110~21c89bef1b.en.html" TargetMode="External"/><Relationship Id="rId14" Type="http://schemas.openxmlformats.org/officeDocument/2006/relationships/hyperlink" Target="https://www.ecb.europa.eu/press/key/date/2023/html/ecb.sp230110~21c89bef1b.en.html" TargetMode="External"/><Relationship Id="rId22" Type="http://schemas.openxmlformats.org/officeDocument/2006/relationships/hyperlink" Target="https://www.ecb.europa.eu/press/key/date/2023/html/ecb.sp230110_annex~5aa200e19d.en.pdf?5e142794a67616bd9102581b199cadc6" TargetMode="External"/><Relationship Id="rId27" Type="http://schemas.openxmlformats.org/officeDocument/2006/relationships/hyperlink" Target="https://www.ecb.europa.eu/pub/pdf/scpwps/ecb.wp2631~00a6e0368c.en.pdf" TargetMode="External"/><Relationship Id="rId30" Type="http://schemas.openxmlformats.org/officeDocument/2006/relationships/hyperlink" Target="https://www.ecb.europa.eu/pub/pdf/scpwps/ecb.wp2318~44719344e8.en.pdf" TargetMode="External"/><Relationship Id="rId35" Type="http://schemas.openxmlformats.org/officeDocument/2006/relationships/hyperlink" Target="https://www.ecb.europa.eu/press/pr/date/2021/html/ecb.pr210204_1~a720bc4f03.en.html" TargetMode="External"/><Relationship Id="rId43" Type="http://schemas.openxmlformats.org/officeDocument/2006/relationships/hyperlink" Target="https://www.ecb.europa.eu/press/key/date/2023/html/ecb.sp231102_1~4bb07ebef7.en.html" TargetMode="External"/><Relationship Id="rId48" Type="http://schemas.openxmlformats.org/officeDocument/2006/relationships/hyperlink" Target="https://www.ecb.europa.eu/press/key/date/2023/html/ecb.sp231102_1_annex~8de4083d81.en.pdf?71b3ff898be3827a7491d46fd96d2f45" TargetMode="External"/><Relationship Id="rId56" Type="http://schemas.openxmlformats.org/officeDocument/2006/relationships/theme" Target="theme/theme1.xml"/><Relationship Id="rId8" Type="http://schemas.openxmlformats.org/officeDocument/2006/relationships/hyperlink" Target="https://www.ecb.europa.eu/press/key/date/2023/html/ecb.sp230110~21c89bef1b.en.html" TargetMode="External"/><Relationship Id="rId51" Type="http://schemas.openxmlformats.org/officeDocument/2006/relationships/hyperlink" Target="https://www.ecb.europa.eu/press/key/date/2023/html/ecb.sp230925_1~7ad8ef22e2.en.html" TargetMode="External"/><Relationship Id="rId3" Type="http://schemas.openxmlformats.org/officeDocument/2006/relationships/settings" Target="settings.xml"/><Relationship Id="rId12" Type="http://schemas.openxmlformats.org/officeDocument/2006/relationships/hyperlink" Target="https://www.ecb.europa.eu/press/key/date/2023/html/ecb.sp230110~21c89bef1b.en.html" TargetMode="External"/><Relationship Id="rId17" Type="http://schemas.openxmlformats.org/officeDocument/2006/relationships/hyperlink" Target="https://www.ecb.europa.eu/press/key/date/2023/html/ecb.sp230110~21c89bef1b.en.html" TargetMode="External"/><Relationship Id="rId25" Type="http://schemas.openxmlformats.org/officeDocument/2006/relationships/hyperlink" Target="https://www.iea.org/reports/projected-costs-of-generating-electricity-2020" TargetMode="External"/><Relationship Id="rId33" Type="http://schemas.openxmlformats.org/officeDocument/2006/relationships/hyperlink" Target="https://www.ecb.europa.eu/press/pr/date/2022/html/ecb.pr220704~4f48a72462.en.html" TargetMode="External"/><Relationship Id="rId38" Type="http://schemas.openxmlformats.org/officeDocument/2006/relationships/hyperlink" Target="https://www.ecb.europa.eu/press/key/date/2023/html/ecb.sp231102_1~4bb07ebef7.en.html" TargetMode="External"/><Relationship Id="rId46" Type="http://schemas.openxmlformats.org/officeDocument/2006/relationships/hyperlink" Target="https://www.ecb.europa.eu/press/key/date/2023/html/ecb.sp231102_1~4bb07ebef7.en.html" TargetMode="External"/><Relationship Id="rId20" Type="http://schemas.openxmlformats.org/officeDocument/2006/relationships/hyperlink" Target="https://www.ecb.europa.eu/press/key/date/2023/html/ecb.sp230110~21c89bef1b.en.html" TargetMode="External"/><Relationship Id="rId41" Type="http://schemas.openxmlformats.org/officeDocument/2006/relationships/hyperlink" Target="https://www.ecb.europa.eu/press/key/date/2023/html/ecb.sp231102_1~4bb07ebef7.en.html" TargetMode="External"/><Relationship Id="rId54" Type="http://schemas.openxmlformats.org/officeDocument/2006/relationships/hyperlink" Target="https://www.dertreasurer.de/news/finanzierung-corporate-finance/so-wirkt-sich-der-ezb-klimascore-aus-2027481/" TargetMode="External"/><Relationship Id="rId1" Type="http://schemas.openxmlformats.org/officeDocument/2006/relationships/numbering" Target="numbering.xml"/><Relationship Id="rId6" Type="http://schemas.openxmlformats.org/officeDocument/2006/relationships/hyperlink" Target="https://www.ecb.europa.eu/press/key/date/2023/html/ecb.sp230110~21c89bef1b.en.html" TargetMode="External"/><Relationship Id="rId15" Type="http://schemas.openxmlformats.org/officeDocument/2006/relationships/hyperlink" Target="https://www.ecb.europa.eu/press/key/date/2023/html/ecb.sp230110~21c89bef1b.en.html" TargetMode="External"/><Relationship Id="rId23" Type="http://schemas.openxmlformats.org/officeDocument/2006/relationships/hyperlink" Target="https://www.ise.fraunhofer.de/en/publications/studies/cost-of-electricity.html" TargetMode="External"/><Relationship Id="rId28" Type="http://schemas.openxmlformats.org/officeDocument/2006/relationships/hyperlink" Target="https://www.ecb.europa.eu/press/key/date/2022/html/ecb.sp220614~67eda62c44.en.html" TargetMode="External"/><Relationship Id="rId36" Type="http://schemas.openxmlformats.org/officeDocument/2006/relationships/hyperlink" Target="https://www.ecb.europa.eu/press/key/date/2021/html/ecb.sp210303_1~f3df48854e.en.html" TargetMode="External"/><Relationship Id="rId49" Type="http://schemas.openxmlformats.org/officeDocument/2006/relationships/hyperlink" Target="https://www.ecb.europa.eu/pub/pdf/other/mb201412_focus03.en.pdf"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37</Pages>
  <Words>8901</Words>
  <Characters>56082</Characters>
  <Application>Microsoft Office Word</Application>
  <DocSecurity>0</DocSecurity>
  <Lines>467</Lines>
  <Paragraphs>129</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64854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Schuster</dc:creator>
  <cp:keywords/>
  <dc:description/>
  <cp:lastModifiedBy>Laura Schuster</cp:lastModifiedBy>
  <cp:revision>2</cp:revision>
  <dcterms:created xsi:type="dcterms:W3CDTF">2023-11-11T18:52:00Z</dcterms:created>
  <dcterms:modified xsi:type="dcterms:W3CDTF">2023-11-11T18:52:00Z</dcterms:modified>
</cp:coreProperties>
</file>