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2FE6" w14:textId="5FF1F48A" w:rsidR="001D31DC" w:rsidRPr="00CA3FD1" w:rsidRDefault="00CA3FD1" w:rsidP="00B27C05">
      <w:pPr>
        <w:pStyle w:val="Title"/>
        <w:ind w:left="0"/>
        <w:jc w:val="both"/>
        <w:rPr>
          <w:b w:val="0"/>
          <w:bCs/>
          <w:sz w:val="24"/>
          <w:szCs w:val="24"/>
        </w:rPr>
      </w:pPr>
      <w:r w:rsidRPr="00CA3FD1">
        <w:rPr>
          <w:b w:val="0"/>
          <w:bCs/>
          <w:sz w:val="24"/>
          <w:szCs w:val="24"/>
        </w:rPr>
        <w:t xml:space="preserve">PROTECTION FROM THE PEEPING TOM: </w:t>
      </w:r>
      <w:r w:rsidR="008664CA">
        <w:rPr>
          <w:b w:val="0"/>
          <w:bCs/>
          <w:sz w:val="24"/>
          <w:szCs w:val="24"/>
        </w:rPr>
        <w:t>Interpreting</w:t>
      </w:r>
      <w:r w:rsidRPr="00CA3FD1">
        <w:rPr>
          <w:b w:val="0"/>
          <w:bCs/>
          <w:sz w:val="24"/>
          <w:szCs w:val="24"/>
        </w:rPr>
        <w:t xml:space="preserve"> the New Offence of Voyeurism</w:t>
      </w:r>
      <w:r w:rsidR="00B374D8" w:rsidRPr="0007709E">
        <w:rPr>
          <w:bCs/>
          <w:i/>
          <w:iCs/>
          <w:vertAlign w:val="superscript"/>
        </w:rPr>
        <w:footnoteReference w:customMarkFollows="1" w:id="1"/>
        <w:t>*</w:t>
      </w:r>
    </w:p>
    <w:p w14:paraId="442B835F" w14:textId="77777777" w:rsidR="00AB4788" w:rsidRPr="001D31DC" w:rsidRDefault="00AB4788" w:rsidP="00B27C05">
      <w:pPr>
        <w:spacing w:line="360" w:lineRule="auto"/>
        <w:ind w:left="357"/>
        <w:jc w:val="both"/>
      </w:pPr>
    </w:p>
    <w:p w14:paraId="7638F693" w14:textId="2F06BA0C" w:rsidR="00B27C05" w:rsidRDefault="00AB4788" w:rsidP="00B27C05">
      <w:pPr>
        <w:pStyle w:val="Heading1"/>
        <w:spacing w:after="0" w:line="360" w:lineRule="auto"/>
      </w:pPr>
      <w:bookmarkStart w:id="0" w:name="_Toc532382585"/>
      <w:r w:rsidRPr="00B374D8">
        <w:t>Introduction</w:t>
      </w:r>
      <w:bookmarkEnd w:id="0"/>
    </w:p>
    <w:p w14:paraId="301C223F" w14:textId="77777777" w:rsidR="00B27C05" w:rsidRPr="00B27C05" w:rsidRDefault="00B27C05" w:rsidP="00B27C05"/>
    <w:p w14:paraId="4B3CED7E" w14:textId="6F3F1C42" w:rsidR="003A4AF5" w:rsidRDefault="00DB4248" w:rsidP="00B27C05">
      <w:pPr>
        <w:pStyle w:val="SALparagraphs"/>
        <w:spacing w:line="360" w:lineRule="auto"/>
      </w:pPr>
      <w:r>
        <w:t xml:space="preserve">A </w:t>
      </w:r>
      <w:r w:rsidR="00E061A0">
        <w:t>series of</w:t>
      </w:r>
      <w:r w:rsidR="00373BA1">
        <w:t xml:space="preserve"> voyeurism incidents on university campuses</w:t>
      </w:r>
      <w:r w:rsidR="002619E6">
        <w:t xml:space="preserve"> in 2019</w:t>
      </w:r>
      <w:r w:rsidR="00576C4D">
        <w:t>,</w:t>
      </w:r>
      <w:r w:rsidR="008612AE" w:rsidRPr="008612AE">
        <w:rPr>
          <w:vertAlign w:val="superscript"/>
        </w:rPr>
        <w:footnoteReference w:id="2"/>
      </w:r>
      <w:r w:rsidR="008612AE" w:rsidRPr="008612AE">
        <w:t xml:space="preserve"> </w:t>
      </w:r>
      <w:r w:rsidR="00576C4D">
        <w:t xml:space="preserve">as well as </w:t>
      </w:r>
      <w:r w:rsidR="00373BA1">
        <w:t>recent news of Telegram chat groups set up to share obscene images</w:t>
      </w:r>
      <w:r w:rsidR="00576C4D">
        <w:t>,</w:t>
      </w:r>
      <w:r w:rsidR="00E63302">
        <w:rPr>
          <w:rStyle w:val="FootnoteReference"/>
        </w:rPr>
        <w:footnoteReference w:id="3"/>
      </w:r>
      <w:r w:rsidR="00373BA1">
        <w:t xml:space="preserve"> have highlighted th</w:t>
      </w:r>
      <w:r w:rsidR="004E537C">
        <w:t>e prevalence of these offences</w:t>
      </w:r>
      <w:r w:rsidR="0028208A">
        <w:rPr>
          <w:rStyle w:val="FootnoteReference"/>
        </w:rPr>
        <w:footnoteReference w:id="4"/>
      </w:r>
      <w:r w:rsidR="004E537C">
        <w:t xml:space="preserve"> and the need for the law to catch up. </w:t>
      </w:r>
      <w:r w:rsidR="0062297A">
        <w:t xml:space="preserve">Following </w:t>
      </w:r>
      <w:r w:rsidR="000D2052">
        <w:t xml:space="preserve">the </w:t>
      </w:r>
      <w:r w:rsidR="0062297A">
        <w:t xml:space="preserve">passing of the Criminal Law Reform </w:t>
      </w:r>
      <w:r w:rsidR="00B50FBB">
        <w:t>Act 2019</w:t>
      </w:r>
      <w:r w:rsidR="00A678FE">
        <w:t>,</w:t>
      </w:r>
      <w:r w:rsidR="00F650A7">
        <w:rPr>
          <w:rStyle w:val="FootnoteReference"/>
        </w:rPr>
        <w:footnoteReference w:id="5"/>
      </w:r>
      <w:r w:rsidR="00A678FE">
        <w:t xml:space="preserve"> </w:t>
      </w:r>
      <w:r w:rsidR="003C3B04">
        <w:t xml:space="preserve">such situations </w:t>
      </w:r>
      <w:r w:rsidR="004E537C">
        <w:t xml:space="preserve">will </w:t>
      </w:r>
      <w:r w:rsidR="00C52563">
        <w:t xml:space="preserve">now </w:t>
      </w:r>
      <w:r w:rsidR="004E537C">
        <w:t>be addressed by</w:t>
      </w:r>
      <w:r w:rsidR="00373BA1">
        <w:t xml:space="preserve"> </w:t>
      </w:r>
      <w:r w:rsidR="004E537C">
        <w:t xml:space="preserve">the incorporation of </w:t>
      </w:r>
      <w:r w:rsidR="0094304D">
        <w:t>legislation criminalising</w:t>
      </w:r>
      <w:r w:rsidR="00D621E0">
        <w:t xml:space="preserve"> voyeurism</w:t>
      </w:r>
      <w:r w:rsidR="004E537C">
        <w:t xml:space="preserve"> and related offences</w:t>
      </w:r>
      <w:r>
        <w:t xml:space="preserve"> in</w:t>
      </w:r>
      <w:r w:rsidR="004E537C">
        <w:t>to</w:t>
      </w:r>
      <w:r>
        <w:t xml:space="preserve"> </w:t>
      </w:r>
      <w:r w:rsidR="00D73558">
        <w:t>the Penal Code</w:t>
      </w:r>
      <w:r w:rsidR="00D3701B">
        <w:t>.</w:t>
      </w:r>
      <w:r w:rsidR="00F6776C">
        <w:rPr>
          <w:rStyle w:val="FootnoteReference"/>
        </w:rPr>
        <w:footnoteReference w:id="6"/>
      </w:r>
      <w:r>
        <w:t xml:space="preserve"> </w:t>
      </w:r>
      <w:r w:rsidR="00BD5327" w:rsidRPr="001D31DC">
        <w:t xml:space="preserve">As such, </w:t>
      </w:r>
      <w:r>
        <w:t xml:space="preserve">it </w:t>
      </w:r>
      <w:r w:rsidR="00407CB2">
        <w:t xml:space="preserve">is </w:t>
      </w:r>
      <w:r w:rsidR="00111D44" w:rsidRPr="001D31DC">
        <w:t xml:space="preserve">an offence for any person to </w:t>
      </w:r>
      <w:r w:rsidR="00366678">
        <w:t>observe or record someone doing a private act, without that person’s consent</w:t>
      </w:r>
      <w:r w:rsidR="00111D44" w:rsidRPr="001D31DC">
        <w:t>.</w:t>
      </w:r>
      <w:r w:rsidR="00111D44" w:rsidRPr="001D31DC">
        <w:rPr>
          <w:rStyle w:val="FootnoteReference"/>
        </w:rPr>
        <w:footnoteReference w:id="7"/>
      </w:r>
      <w:r w:rsidR="00AB4788" w:rsidRPr="001D31DC">
        <w:t xml:space="preserve"> </w:t>
      </w:r>
      <w:r w:rsidR="009D36A7">
        <w:t xml:space="preserve">It </w:t>
      </w:r>
      <w:r w:rsidR="00407CB2">
        <w:t>is also</w:t>
      </w:r>
      <w:r w:rsidR="009D36A7">
        <w:t xml:space="preserve"> an offence to</w:t>
      </w:r>
      <w:r w:rsidR="00DF4F9B">
        <w:t xml:space="preserve"> possess, gain access to, distribute</w:t>
      </w:r>
      <w:r w:rsidR="00094E0F">
        <w:t>,</w:t>
      </w:r>
      <w:r w:rsidR="00DF4F9B">
        <w:t xml:space="preserve"> or threaten to distribute images so recorded.</w:t>
      </w:r>
      <w:r w:rsidR="00DF4F9B">
        <w:rPr>
          <w:rStyle w:val="FootnoteReference"/>
        </w:rPr>
        <w:footnoteReference w:id="8"/>
      </w:r>
      <w:r w:rsidR="00DF4F9B">
        <w:t xml:space="preserve"> </w:t>
      </w:r>
    </w:p>
    <w:p w14:paraId="4DAE2452" w14:textId="77777777" w:rsidR="00B27C05" w:rsidRPr="001D31DC" w:rsidRDefault="00B27C05" w:rsidP="00B27C05">
      <w:pPr>
        <w:pStyle w:val="SALparagraphs"/>
        <w:numPr>
          <w:ilvl w:val="0"/>
          <w:numId w:val="0"/>
        </w:numPr>
        <w:spacing w:line="360" w:lineRule="auto"/>
        <w:ind w:left="720"/>
      </w:pPr>
    </w:p>
    <w:p w14:paraId="258707E1" w14:textId="32A35685" w:rsidR="00634E18" w:rsidRPr="001D31DC" w:rsidRDefault="00111D44" w:rsidP="00B27C05">
      <w:pPr>
        <w:pStyle w:val="SALparagraphs"/>
        <w:spacing w:line="360" w:lineRule="auto"/>
      </w:pPr>
      <w:r w:rsidRPr="001D31DC">
        <w:lastRenderedPageBreak/>
        <w:t>This paper</w:t>
      </w:r>
      <w:r w:rsidR="004823DF">
        <w:t xml:space="preserve"> </w:t>
      </w:r>
      <w:r w:rsidR="00AC5C3F">
        <w:t>will focus on the core offence of voyeurism</w:t>
      </w:r>
      <w:r w:rsidR="004823DF">
        <w:t xml:space="preserve">, </w:t>
      </w:r>
      <w:r w:rsidR="00AC5C3F">
        <w:t>in particular</w:t>
      </w:r>
      <w:r w:rsidR="00B452D2">
        <w:t xml:space="preserve"> </w:t>
      </w:r>
      <w:r w:rsidRPr="001D31DC">
        <w:t xml:space="preserve">how </w:t>
      </w:r>
      <w:r w:rsidR="004823DF">
        <w:t>it</w:t>
      </w:r>
      <w:r w:rsidRPr="001D31DC">
        <w:t xml:space="preserve"> may be</w:t>
      </w:r>
      <w:r w:rsidR="00B452D2">
        <w:t xml:space="preserve"> </w:t>
      </w:r>
      <w:r w:rsidR="004823DF">
        <w:t>interpreted</w:t>
      </w:r>
      <w:r w:rsidR="00661F84">
        <w:t xml:space="preserve"> under the new laws</w:t>
      </w:r>
      <w:r w:rsidR="00696654">
        <w:t>.</w:t>
      </w:r>
      <w:r w:rsidR="00696654" w:rsidRPr="001D31DC" w:rsidDel="00696654">
        <w:t xml:space="preserve"> </w:t>
      </w:r>
      <w:r w:rsidRPr="001D31DC">
        <w:t xml:space="preserve"> The first section of this paper </w:t>
      </w:r>
      <w:r w:rsidR="0041394F">
        <w:t>briefly ch</w:t>
      </w:r>
      <w:r w:rsidR="00480F9C">
        <w:t>aracterise</w:t>
      </w:r>
      <w:r w:rsidR="00492359">
        <w:t>s</w:t>
      </w:r>
      <w:r w:rsidR="00480F9C">
        <w:t xml:space="preserve"> voyeurism as a privacy and sexual offence</w:t>
      </w:r>
      <w:r w:rsidR="00C81091" w:rsidRPr="001D31DC">
        <w:t xml:space="preserve">. </w:t>
      </w:r>
      <w:r w:rsidR="00416E77" w:rsidRPr="001D31DC">
        <w:t>The second section</w:t>
      </w:r>
      <w:r w:rsidR="00492359">
        <w:t xml:space="preserve"> </w:t>
      </w:r>
      <w:r w:rsidR="00416E77" w:rsidRPr="001D31DC">
        <w:t>delineate</w:t>
      </w:r>
      <w:r w:rsidR="00492359">
        <w:t>s</w:t>
      </w:r>
      <w:r w:rsidR="00416E77" w:rsidRPr="001D31DC">
        <w:t xml:space="preserve"> the elements of the </w:t>
      </w:r>
      <w:r w:rsidR="004B1A18" w:rsidRPr="001D31DC">
        <w:t xml:space="preserve">proposed </w:t>
      </w:r>
      <w:r w:rsidR="000C5B2D">
        <w:t xml:space="preserve">offence, </w:t>
      </w:r>
      <w:r w:rsidR="004E5C3D" w:rsidRPr="001D31DC">
        <w:t xml:space="preserve">and </w:t>
      </w:r>
      <w:r w:rsidR="004E5C3D" w:rsidRPr="00B374D8">
        <w:t>focus</w:t>
      </w:r>
      <w:r w:rsidR="00492359" w:rsidRPr="00B374D8">
        <w:t>es</w:t>
      </w:r>
      <w:r w:rsidR="00416E77" w:rsidRPr="001D31DC">
        <w:t xml:space="preserve"> on the requirement of a “reasonable expectation of privacy.” </w:t>
      </w:r>
      <w:r w:rsidR="00287BEF" w:rsidRPr="001D31DC">
        <w:t xml:space="preserve">Finally, </w:t>
      </w:r>
      <w:r w:rsidR="00A95533">
        <w:t>this paper</w:t>
      </w:r>
      <w:r w:rsidR="00287BEF" w:rsidRPr="001D31DC">
        <w:t xml:space="preserve"> will conclude with a call for sensitivity in </w:t>
      </w:r>
      <w:r w:rsidR="005430EF">
        <w:t>sentencing</w:t>
      </w:r>
      <w:r w:rsidR="00A95533">
        <w:t xml:space="preserve"> the offender</w:t>
      </w:r>
      <w:r w:rsidR="00287BEF" w:rsidRPr="001D31DC">
        <w:t xml:space="preserve">, given </w:t>
      </w:r>
      <w:r w:rsidR="0000154B" w:rsidRPr="001D31DC">
        <w:t>that voyeurism</w:t>
      </w:r>
      <w:r w:rsidR="00287BEF" w:rsidRPr="001D31DC">
        <w:t xml:space="preserve"> is also a recognised mental disorder.</w:t>
      </w:r>
    </w:p>
    <w:p w14:paraId="79169E1A" w14:textId="7AD64B77" w:rsidR="00E47374" w:rsidRPr="001D31DC" w:rsidRDefault="00E47374" w:rsidP="00B27C05">
      <w:pPr>
        <w:pStyle w:val="Heading1"/>
        <w:spacing w:line="360" w:lineRule="auto"/>
      </w:pPr>
      <w:bookmarkStart w:id="1" w:name="_Toc532382586"/>
      <w:r w:rsidRPr="00B374D8">
        <w:t>Conceptualising</w:t>
      </w:r>
      <w:r w:rsidRPr="001D31DC">
        <w:t xml:space="preserve"> Voyeurism</w:t>
      </w:r>
      <w:bookmarkEnd w:id="1"/>
    </w:p>
    <w:p w14:paraId="65E76D30" w14:textId="425A9418" w:rsidR="00A46867" w:rsidRDefault="004D63A5" w:rsidP="00B27C05">
      <w:pPr>
        <w:pStyle w:val="SALparagraphs"/>
        <w:spacing w:line="360" w:lineRule="auto"/>
      </w:pPr>
      <w:bookmarkStart w:id="2" w:name="_Hlk28337574"/>
      <w:r>
        <w:t>As a</w:t>
      </w:r>
      <w:r w:rsidR="00D90C2D">
        <w:t>n offence,</w:t>
      </w:r>
      <w:r>
        <w:t xml:space="preserve"> v</w:t>
      </w:r>
      <w:r w:rsidR="009E6AA0" w:rsidRPr="001D31DC">
        <w:t>oyeurism has b</w:t>
      </w:r>
      <w:r w:rsidR="00C543B8" w:rsidRPr="001D31DC">
        <w:t>een conceived as both a breach of privacy</w:t>
      </w:r>
      <w:r w:rsidR="00591E88">
        <w:t>,</w:t>
      </w:r>
      <w:r>
        <w:t xml:space="preserve"> as well as</w:t>
      </w:r>
      <w:r w:rsidR="00C543B8" w:rsidRPr="001D31DC">
        <w:t xml:space="preserve"> </w:t>
      </w:r>
      <w:r w:rsidR="004E5C3D" w:rsidRPr="001D31DC">
        <w:t>of</w:t>
      </w:r>
      <w:r w:rsidR="00C543B8" w:rsidRPr="001D31DC">
        <w:t xml:space="preserve"> a person’s sexual or physical </w:t>
      </w:r>
      <w:r w:rsidR="00A95533">
        <w:t>i</w:t>
      </w:r>
      <w:r w:rsidR="00C543B8" w:rsidRPr="001D31DC">
        <w:t>ntegrity</w:t>
      </w:r>
      <w:r w:rsidR="00A95533">
        <w:t>.</w:t>
      </w:r>
      <w:r w:rsidR="00C543B8" w:rsidRPr="001D31DC">
        <w:rPr>
          <w:rStyle w:val="FootnoteReference"/>
        </w:rPr>
        <w:footnoteReference w:id="9"/>
      </w:r>
      <w:r w:rsidR="00C543B8" w:rsidRPr="001D31DC">
        <w:t xml:space="preserve"> </w:t>
      </w:r>
    </w:p>
    <w:p w14:paraId="27F021F4" w14:textId="77777777" w:rsidR="00B27C05" w:rsidRPr="001D31DC" w:rsidRDefault="00B27C05" w:rsidP="00B27C05">
      <w:pPr>
        <w:pStyle w:val="SALparagraphs"/>
        <w:numPr>
          <w:ilvl w:val="0"/>
          <w:numId w:val="0"/>
        </w:numPr>
        <w:spacing w:line="360" w:lineRule="auto"/>
        <w:ind w:left="720"/>
      </w:pPr>
    </w:p>
    <w:p w14:paraId="67F00940" w14:textId="42536130" w:rsidR="009D6F2D" w:rsidRDefault="004548D2" w:rsidP="00B27C05">
      <w:pPr>
        <w:pStyle w:val="SALparagraphs"/>
        <w:spacing w:line="360" w:lineRule="auto"/>
      </w:pPr>
      <w:r w:rsidRPr="001D31DC">
        <w:t>Voyeurism</w:t>
      </w:r>
      <w:r w:rsidR="00BE5886" w:rsidRPr="001D31DC">
        <w:t xml:space="preserve"> infringes on two types of privacy interests: first, the</w:t>
      </w:r>
      <w:r w:rsidR="00350A40" w:rsidRPr="001D31DC">
        <w:t xml:space="preserve"> traditional</w:t>
      </w:r>
      <w:r w:rsidR="00BE5886" w:rsidRPr="001D31DC">
        <w:t xml:space="preserve"> ‘right to be let alone’</w:t>
      </w:r>
      <w:r w:rsidR="007642AD">
        <w:t>,</w:t>
      </w:r>
      <w:r w:rsidR="00782148" w:rsidRPr="001D31DC">
        <w:rPr>
          <w:rStyle w:val="FootnoteReference"/>
        </w:rPr>
        <w:footnoteReference w:id="10"/>
      </w:r>
      <w:r w:rsidR="007642AD">
        <w:t xml:space="preserve"> and</w:t>
      </w:r>
      <w:r w:rsidR="00BE5886" w:rsidRPr="001D31DC">
        <w:t xml:space="preserve"> second, </w:t>
      </w:r>
      <w:r w:rsidR="002907DF" w:rsidRPr="001D31DC">
        <w:t>the right to control</w:t>
      </w:r>
      <w:r w:rsidR="007704A2" w:rsidRPr="001D31DC">
        <w:t xml:space="preserve"> </w:t>
      </w:r>
      <w:r w:rsidR="008F698E">
        <w:t xml:space="preserve">one’s </w:t>
      </w:r>
      <w:r w:rsidR="007704A2" w:rsidRPr="001D31DC">
        <w:t>personal information</w:t>
      </w:r>
      <w:r w:rsidR="002907DF" w:rsidRPr="001D31DC">
        <w:t>.</w:t>
      </w:r>
      <w:r w:rsidR="007704A2" w:rsidRPr="001D31DC">
        <w:rPr>
          <w:rStyle w:val="FootnoteReference"/>
        </w:rPr>
        <w:footnoteReference w:id="11"/>
      </w:r>
      <w:r w:rsidR="002907DF" w:rsidRPr="001D31DC">
        <w:t xml:space="preserve"> The </w:t>
      </w:r>
      <w:r w:rsidR="00DF5AFD">
        <w:t>right to be left alone</w:t>
      </w:r>
      <w:r w:rsidR="00DF5AFD" w:rsidRPr="001D31DC">
        <w:t xml:space="preserve"> </w:t>
      </w:r>
      <w:bookmarkEnd w:id="2"/>
      <w:r w:rsidR="002907DF" w:rsidRPr="001D31DC">
        <w:t>is infringed at the point of observation, where the uninvited voyeur intrudes into another</w:t>
      </w:r>
      <w:r w:rsidR="00A95533">
        <w:t xml:space="preserve"> person’s </w:t>
      </w:r>
      <w:r w:rsidR="002907DF" w:rsidRPr="001D31DC">
        <w:t>private space</w:t>
      </w:r>
      <w:r w:rsidRPr="001D31DC">
        <w:t xml:space="preserve">, such as </w:t>
      </w:r>
      <w:r w:rsidR="002907DF" w:rsidRPr="001D31DC">
        <w:t xml:space="preserve">by installing a camera where a victim does not expect </w:t>
      </w:r>
      <w:r w:rsidR="00A95533">
        <w:t xml:space="preserve">to be </w:t>
      </w:r>
      <w:r w:rsidR="00A95533" w:rsidRPr="00B374D8">
        <w:t>observed</w:t>
      </w:r>
      <w:r w:rsidR="007704A2" w:rsidRPr="001D31DC">
        <w:t xml:space="preserve">. The </w:t>
      </w:r>
      <w:r w:rsidR="000028C7">
        <w:t>right to control one’s personal information</w:t>
      </w:r>
      <w:r w:rsidR="000028C7" w:rsidRPr="001D31DC">
        <w:t xml:space="preserve"> </w:t>
      </w:r>
      <w:r w:rsidR="007704A2" w:rsidRPr="001D31DC">
        <w:t xml:space="preserve">is infringed </w:t>
      </w:r>
      <w:r w:rsidR="00EC488E">
        <w:t xml:space="preserve">as the individual being observed does not know of the observation, and cannot adjust his behaviour </w:t>
      </w:r>
      <w:r w:rsidR="00EC488E" w:rsidRPr="00EC488E">
        <w:t>to “minimise the intrusion and control how (he is viewed).”</w:t>
      </w:r>
      <w:r w:rsidR="00EC488E" w:rsidRPr="00EC488E">
        <w:rPr>
          <w:vertAlign w:val="superscript"/>
        </w:rPr>
        <w:footnoteReference w:id="12"/>
      </w:r>
      <w:r w:rsidR="00EC488E">
        <w:t xml:space="preserve"> Further infringement </w:t>
      </w:r>
      <w:r w:rsidR="001122D9">
        <w:t xml:space="preserve">of this kind </w:t>
      </w:r>
      <w:r w:rsidR="00EC488E">
        <w:t xml:space="preserve">may occur </w:t>
      </w:r>
      <w:r w:rsidR="007704A2" w:rsidRPr="001D31DC">
        <w:t>whe</w:t>
      </w:r>
      <w:r w:rsidR="00EC488E">
        <w:t>n</w:t>
      </w:r>
      <w:r w:rsidR="007704A2" w:rsidRPr="001D31DC">
        <w:t xml:space="preserve"> an image of the victim is </w:t>
      </w:r>
      <w:r w:rsidR="00A95533">
        <w:t xml:space="preserve">subsequently </w:t>
      </w:r>
      <w:r w:rsidR="007704A2" w:rsidRPr="001D31DC">
        <w:t>captured and disseminated.</w:t>
      </w:r>
      <w:r w:rsidR="007A12B2" w:rsidRPr="001D31DC">
        <w:rPr>
          <w:rStyle w:val="FootnoteReference"/>
        </w:rPr>
        <w:footnoteReference w:id="13"/>
      </w:r>
      <w:r w:rsidR="007704A2" w:rsidRPr="001D31DC">
        <w:t xml:space="preserve"> </w:t>
      </w:r>
    </w:p>
    <w:p w14:paraId="13C43639" w14:textId="77777777" w:rsidR="00B27C05" w:rsidRDefault="00B27C05" w:rsidP="00B27C05">
      <w:pPr>
        <w:pStyle w:val="SALparagraphs"/>
        <w:numPr>
          <w:ilvl w:val="0"/>
          <w:numId w:val="0"/>
        </w:numPr>
        <w:spacing w:line="360" w:lineRule="auto"/>
      </w:pPr>
    </w:p>
    <w:p w14:paraId="77C60478" w14:textId="3C371894" w:rsidR="00731734" w:rsidRDefault="00CE6CAC" w:rsidP="00B27C05">
      <w:pPr>
        <w:pStyle w:val="SALparagraphs"/>
        <w:spacing w:line="360" w:lineRule="auto"/>
      </w:pPr>
      <w:r>
        <w:t>With regard to</w:t>
      </w:r>
      <w:r w:rsidR="009D6F2D">
        <w:t xml:space="preserve"> </w:t>
      </w:r>
      <w:r w:rsidR="009D6F2D" w:rsidRPr="00B374D8">
        <w:t>voyeurism</w:t>
      </w:r>
      <w:r w:rsidR="009D6F2D">
        <w:t xml:space="preserve"> being a breach of </w:t>
      </w:r>
      <w:r w:rsidR="009D6F2D" w:rsidRPr="001D31DC">
        <w:t xml:space="preserve">a person’s sexual or physical </w:t>
      </w:r>
      <w:r w:rsidR="009D6F2D">
        <w:t>i</w:t>
      </w:r>
      <w:r w:rsidR="009D6F2D" w:rsidRPr="001D31DC">
        <w:t>ntegrity</w:t>
      </w:r>
      <w:r w:rsidR="002F6BAE">
        <w:t>, t</w:t>
      </w:r>
      <w:r w:rsidR="00E30497" w:rsidRPr="001D31DC">
        <w:t>he</w:t>
      </w:r>
      <w:r w:rsidR="006F50D7" w:rsidRPr="001D31DC">
        <w:t xml:space="preserve">re are at </w:t>
      </w:r>
      <w:r w:rsidR="00E30497" w:rsidRPr="001D31DC">
        <w:t xml:space="preserve">least two bases for voyeurism as a sexual offence: </w:t>
      </w:r>
    </w:p>
    <w:p w14:paraId="62A37E62" w14:textId="4AA68CC7" w:rsidR="00731734" w:rsidRDefault="00731734" w:rsidP="00B27C05">
      <w:pPr>
        <w:pStyle w:val="SALparagraphs"/>
        <w:numPr>
          <w:ilvl w:val="0"/>
          <w:numId w:val="9"/>
        </w:numPr>
        <w:spacing w:line="360" w:lineRule="auto"/>
        <w:ind w:hanging="654"/>
      </w:pPr>
      <w:r>
        <w:t>First, t</w:t>
      </w:r>
      <w:r w:rsidR="00E30497" w:rsidRPr="001D31DC">
        <w:t>he purpose for which the observation is made</w:t>
      </w:r>
      <w:r w:rsidR="00E637F4" w:rsidRPr="001D31DC">
        <w:t>, such as the voyeur’s sexual arousal;</w:t>
      </w:r>
      <w:r>
        <w:t xml:space="preserve"> and;</w:t>
      </w:r>
    </w:p>
    <w:p w14:paraId="437C4DAD" w14:textId="5FACDA7A" w:rsidR="00731734" w:rsidRDefault="00731734" w:rsidP="00B27C05">
      <w:pPr>
        <w:pStyle w:val="SALparagraphs"/>
        <w:numPr>
          <w:ilvl w:val="0"/>
          <w:numId w:val="9"/>
        </w:numPr>
        <w:spacing w:line="360" w:lineRule="auto"/>
        <w:ind w:hanging="654"/>
      </w:pPr>
      <w:r>
        <w:lastRenderedPageBreak/>
        <w:t>S</w:t>
      </w:r>
      <w:r w:rsidR="00E637F4" w:rsidRPr="001D31DC">
        <w:t>econd, the nature of</w:t>
      </w:r>
      <w:r>
        <w:t xml:space="preserve"> what is </w:t>
      </w:r>
      <w:r w:rsidR="00E637F4" w:rsidRPr="001D31DC">
        <w:t xml:space="preserve">observed, such as the fact that </w:t>
      </w:r>
      <w:r>
        <w:t xml:space="preserve">potential victims </w:t>
      </w:r>
      <w:r w:rsidR="00E637F4" w:rsidRPr="001D31DC">
        <w:t xml:space="preserve"> may be engaged in acts of intimacy</w:t>
      </w:r>
      <w:r>
        <w:t>.</w:t>
      </w:r>
      <w:r w:rsidR="00E637F4" w:rsidRPr="001D31DC">
        <w:rPr>
          <w:rStyle w:val="FootnoteReference"/>
        </w:rPr>
        <w:footnoteReference w:id="14"/>
      </w:r>
      <w:r>
        <w:t xml:space="preserve"> </w:t>
      </w:r>
    </w:p>
    <w:p w14:paraId="2DA645FA" w14:textId="27D41514" w:rsidR="00634E18" w:rsidRPr="001D31DC" w:rsidRDefault="00FD6A76" w:rsidP="00B27C05">
      <w:pPr>
        <w:pStyle w:val="SALparagraphs"/>
        <w:spacing w:line="360" w:lineRule="auto"/>
      </w:pPr>
      <w:r w:rsidRPr="001D31DC">
        <w:t>The</w:t>
      </w:r>
      <w:r w:rsidR="00E9637B" w:rsidRPr="001D31DC">
        <w:t xml:space="preserve"> prohibition against voyeurism</w:t>
      </w:r>
      <w:r w:rsidRPr="001D31DC">
        <w:t xml:space="preserve"> </w:t>
      </w:r>
      <w:r w:rsidR="007338D8">
        <w:t xml:space="preserve">thus </w:t>
      </w:r>
      <w:r w:rsidR="00E9637B" w:rsidRPr="001D31DC">
        <w:t>seeks to prevent a person from sexually exploiting another</w:t>
      </w:r>
      <w:r w:rsidR="002F6BAE">
        <w:t>.</w:t>
      </w:r>
      <w:r w:rsidR="00E9637B" w:rsidRPr="001D31DC">
        <w:rPr>
          <w:rStyle w:val="FootnoteReference"/>
        </w:rPr>
        <w:footnoteReference w:id="15"/>
      </w:r>
      <w:r w:rsidR="00D14B36" w:rsidRPr="00D14B36">
        <w:t xml:space="preserve"> </w:t>
      </w:r>
      <w:r w:rsidR="005B75AF">
        <w:t>It has also been reported that victims of voyeurism may feel “intimidated, ashamed, angry or powerless” in the face of unwanted exposure,</w:t>
      </w:r>
      <w:r w:rsidR="005B75AF">
        <w:rPr>
          <w:rStyle w:val="FootnoteReference"/>
        </w:rPr>
        <w:footnoteReference w:id="16"/>
      </w:r>
      <w:r w:rsidR="005B75AF">
        <w:t xml:space="preserve"> </w:t>
      </w:r>
      <w:r w:rsidR="007276BD">
        <w:t xml:space="preserve">while </w:t>
      </w:r>
      <w:r w:rsidR="00232F84">
        <w:t>victims of ‘revenge porn’ may be overwhelmed at seeing their images online.</w:t>
      </w:r>
      <w:r w:rsidR="00090C30">
        <w:rPr>
          <w:rStyle w:val="FootnoteReference"/>
        </w:rPr>
        <w:footnoteReference w:id="17"/>
      </w:r>
    </w:p>
    <w:p w14:paraId="78BEAA9D" w14:textId="6B614B5E" w:rsidR="00B374D8" w:rsidRDefault="00A837DE" w:rsidP="00B27C05">
      <w:pPr>
        <w:pStyle w:val="Heading1"/>
        <w:spacing w:line="360" w:lineRule="auto"/>
      </w:pPr>
      <w:bookmarkStart w:id="3" w:name="_Toc532382590"/>
      <w:r w:rsidRPr="001D31DC">
        <w:t>I</w:t>
      </w:r>
      <w:r>
        <w:t>nterpreting</w:t>
      </w:r>
      <w:r w:rsidRPr="001D31DC">
        <w:t xml:space="preserve"> </w:t>
      </w:r>
      <w:r w:rsidR="00224B8D" w:rsidRPr="001D31DC">
        <w:t>the Voyeuristic Offence</w:t>
      </w:r>
      <w:bookmarkStart w:id="4" w:name="_Toc532382591"/>
      <w:bookmarkEnd w:id="3"/>
    </w:p>
    <w:p w14:paraId="365CAAEA" w14:textId="7CE89CF4" w:rsidR="00314996" w:rsidRDefault="00722EF9" w:rsidP="00B27C05">
      <w:pPr>
        <w:pStyle w:val="Heading2"/>
      </w:pPr>
      <w:r w:rsidRPr="00B374D8">
        <w:t xml:space="preserve">The </w:t>
      </w:r>
      <w:r w:rsidR="00836F55" w:rsidRPr="00B374D8">
        <w:t>Current</w:t>
      </w:r>
      <w:r w:rsidR="00C42A9F" w:rsidRPr="00B374D8">
        <w:t xml:space="preserve"> State of Affairs</w:t>
      </w:r>
      <w:bookmarkEnd w:id="4"/>
      <w:r w:rsidR="00C42A9F" w:rsidRPr="00B374D8">
        <w:t xml:space="preserve"> </w:t>
      </w:r>
    </w:p>
    <w:p w14:paraId="02DA28C4" w14:textId="77777777" w:rsidR="00B27C05" w:rsidRPr="00B27C05" w:rsidRDefault="00B27C05" w:rsidP="00B27C05"/>
    <w:p w14:paraId="3D191AA9" w14:textId="72485375" w:rsidR="002C41E8" w:rsidRPr="001D31DC" w:rsidRDefault="00250465" w:rsidP="00B27C05">
      <w:pPr>
        <w:pStyle w:val="SALparagraphs"/>
        <w:spacing w:line="360" w:lineRule="auto"/>
      </w:pPr>
      <w:r w:rsidRPr="001D31DC">
        <w:t>Given</w:t>
      </w:r>
      <w:r w:rsidR="00836F55" w:rsidRPr="001D31DC">
        <w:t xml:space="preserve"> the </w:t>
      </w:r>
      <w:r w:rsidR="0096309D">
        <w:t>status of voyeurism as an offence</w:t>
      </w:r>
      <w:r w:rsidR="00836F55" w:rsidRPr="001D31DC">
        <w:t xml:space="preserve">, </w:t>
      </w:r>
      <w:r w:rsidR="00D84887">
        <w:t xml:space="preserve">this paper will </w:t>
      </w:r>
      <w:r w:rsidR="00E71EC1" w:rsidRPr="001D31DC">
        <w:t>discuss</w:t>
      </w:r>
      <w:r w:rsidR="00836F55" w:rsidRPr="001D31DC">
        <w:t xml:space="preserve"> how </w:t>
      </w:r>
      <w:r w:rsidR="00750CB9">
        <w:t>such</w:t>
      </w:r>
      <w:r w:rsidR="00750CB9" w:rsidRPr="001D31DC">
        <w:t xml:space="preserve"> </w:t>
      </w:r>
      <w:r w:rsidR="0096309D">
        <w:t xml:space="preserve">behaviour </w:t>
      </w:r>
      <w:r w:rsidR="00836F55" w:rsidRPr="001D31DC">
        <w:t xml:space="preserve">has </w:t>
      </w:r>
      <w:r w:rsidR="00155E30" w:rsidRPr="001D31DC">
        <w:t xml:space="preserve">been </w:t>
      </w:r>
      <w:r w:rsidR="00C5481D" w:rsidRPr="001D31DC">
        <w:t>dealt with thus far</w:t>
      </w:r>
      <w:r w:rsidR="00836F55" w:rsidRPr="001D31DC">
        <w:t xml:space="preserve">. </w:t>
      </w:r>
      <w:r w:rsidR="00C5481D" w:rsidRPr="001D31DC">
        <w:t>Voyeuristic</w:t>
      </w:r>
      <w:r w:rsidR="00836F55" w:rsidRPr="001D31DC">
        <w:t xml:space="preserve"> offences </w:t>
      </w:r>
      <w:r w:rsidR="00015D6B">
        <w:t>have been</w:t>
      </w:r>
      <w:r w:rsidR="00015D6B" w:rsidRPr="001D31DC">
        <w:t xml:space="preserve"> </w:t>
      </w:r>
      <w:r w:rsidR="00F1743F" w:rsidRPr="001D31DC">
        <w:t>typically prosecuted under s</w:t>
      </w:r>
      <w:r w:rsidR="006C0A05">
        <w:t xml:space="preserve"> </w:t>
      </w:r>
      <w:r w:rsidR="00F1743F" w:rsidRPr="001D31DC">
        <w:t>509 of the Penal Code, which p</w:t>
      </w:r>
      <w:r w:rsidR="00155E30" w:rsidRPr="001D31DC">
        <w:t>rohibits</w:t>
      </w:r>
      <w:r w:rsidR="00F1743F" w:rsidRPr="001D31DC">
        <w:t xml:space="preserve"> the act of a “word or gesture intended to insult the modesty of any woman…(</w:t>
      </w:r>
      <w:r w:rsidR="00701F76" w:rsidRPr="001D31DC">
        <w:t>including intruding)</w:t>
      </w:r>
      <w:r w:rsidR="00F1743F" w:rsidRPr="001D31DC">
        <w:t xml:space="preserve"> upon the privacy of such woman.”</w:t>
      </w:r>
      <w:r w:rsidR="00F1743F" w:rsidRPr="001D31DC">
        <w:rPr>
          <w:rStyle w:val="FootnoteReference"/>
        </w:rPr>
        <w:footnoteReference w:id="18"/>
      </w:r>
      <w:r w:rsidR="00F1743F" w:rsidRPr="001D31DC">
        <w:t xml:space="preserve"> </w:t>
      </w:r>
      <w:r w:rsidR="001B5C90" w:rsidRPr="001D31DC">
        <w:t xml:space="preserve">Occasionally, </w:t>
      </w:r>
      <w:r w:rsidR="00ED66E4" w:rsidRPr="001D31DC">
        <w:t>these offences</w:t>
      </w:r>
      <w:r w:rsidR="001B5C90" w:rsidRPr="001D31DC">
        <w:t xml:space="preserve"> </w:t>
      </w:r>
      <w:r w:rsidR="00AA7808">
        <w:t>were</w:t>
      </w:r>
      <w:r w:rsidR="00AA7808" w:rsidRPr="001D31DC">
        <w:t xml:space="preserve"> </w:t>
      </w:r>
      <w:r w:rsidR="00155E30" w:rsidRPr="001D31DC">
        <w:t xml:space="preserve">also </w:t>
      </w:r>
      <w:r w:rsidR="001B5C90" w:rsidRPr="001D31DC">
        <w:t xml:space="preserve">prosecuted under the Films Act for </w:t>
      </w:r>
      <w:r w:rsidR="000249F0" w:rsidRPr="001D31DC">
        <w:t>making or possessing</w:t>
      </w:r>
      <w:r w:rsidR="001B5C90" w:rsidRPr="001D31DC">
        <w:t xml:space="preserve"> an obscene film.</w:t>
      </w:r>
      <w:r w:rsidR="001B5C90" w:rsidRPr="001D31DC">
        <w:rPr>
          <w:rStyle w:val="FootnoteReference"/>
        </w:rPr>
        <w:footnoteReference w:id="19"/>
      </w:r>
      <w:r w:rsidR="000108DC">
        <w:t xml:space="preserve"> </w:t>
      </w:r>
      <w:r w:rsidR="002F6BAE">
        <w:t>Furthermore, the distribution of sexual images</w:t>
      </w:r>
      <w:r w:rsidR="007A470F">
        <w:t>,</w:t>
      </w:r>
      <w:r w:rsidR="002F6BAE">
        <w:t xml:space="preserve"> in the vein of Telegram chat groups</w:t>
      </w:r>
      <w:r w:rsidR="002C2916">
        <w:t xml:space="preserve"> </w:t>
      </w:r>
      <w:r w:rsidR="00B770ED">
        <w:t>“</w:t>
      </w:r>
      <w:r w:rsidR="002C2916">
        <w:t>SG Nasi Lemak</w:t>
      </w:r>
      <w:r w:rsidR="00B770ED">
        <w:t>”</w:t>
      </w:r>
      <w:r w:rsidR="002C2916">
        <w:t xml:space="preserve"> and </w:t>
      </w:r>
      <w:r w:rsidR="00B770ED">
        <w:t>“</w:t>
      </w:r>
      <w:proofErr w:type="spellStart"/>
      <w:r w:rsidR="002C2916">
        <w:t>SharingIsCaring</w:t>
      </w:r>
      <w:proofErr w:type="spellEnd"/>
      <w:r w:rsidR="007A470F">
        <w:t>,</w:t>
      </w:r>
      <w:r w:rsidR="00B770ED">
        <w:t>”</w:t>
      </w:r>
      <w:r w:rsidR="00C17774">
        <w:t xml:space="preserve"> ha</w:t>
      </w:r>
      <w:r w:rsidR="009A3203">
        <w:t>d</w:t>
      </w:r>
      <w:r w:rsidR="00C17774">
        <w:t xml:space="preserve"> been typically addressed under s</w:t>
      </w:r>
      <w:r w:rsidR="007A470F">
        <w:t xml:space="preserve"> </w:t>
      </w:r>
      <w:r w:rsidR="00C17774">
        <w:t xml:space="preserve">292(a) of the Penal Code for, </w:t>
      </w:r>
      <w:r w:rsidR="00C17774">
        <w:rPr>
          <w:i/>
        </w:rPr>
        <w:t>inter alia</w:t>
      </w:r>
      <w:r w:rsidR="00C17774">
        <w:t xml:space="preserve">, </w:t>
      </w:r>
      <w:r w:rsidR="00E7092B">
        <w:t>the transmission of obscene material by electronic means</w:t>
      </w:r>
      <w:r w:rsidR="00C17774">
        <w:t>, s</w:t>
      </w:r>
      <w:r w:rsidR="0055484E">
        <w:t xml:space="preserve"> </w:t>
      </w:r>
      <w:r w:rsidR="00C17774">
        <w:t>383 for extortion and s</w:t>
      </w:r>
      <w:r w:rsidR="0055484E">
        <w:t xml:space="preserve"> </w:t>
      </w:r>
      <w:r w:rsidR="00C17774">
        <w:t>503 for criminal intimidation.</w:t>
      </w:r>
      <w:r w:rsidR="00C17774">
        <w:rPr>
          <w:rStyle w:val="FootnoteReference"/>
        </w:rPr>
        <w:footnoteReference w:id="20"/>
      </w:r>
      <w:r w:rsidR="00C17774">
        <w:t xml:space="preserve"> </w:t>
      </w:r>
    </w:p>
    <w:p w14:paraId="0819D8E0" w14:textId="2B758276" w:rsidR="006C11A4" w:rsidRPr="001D31DC" w:rsidRDefault="007F013B" w:rsidP="00B27C05">
      <w:pPr>
        <w:pStyle w:val="SALparagraphs"/>
        <w:spacing w:line="360" w:lineRule="auto"/>
      </w:pPr>
      <w:bookmarkStart w:id="5" w:name="_Hlk13264269"/>
      <w:r w:rsidRPr="001D31DC">
        <w:lastRenderedPageBreak/>
        <w:t>The Penal Code Review Committee</w:t>
      </w:r>
      <w:r w:rsidR="00D84887">
        <w:t xml:space="preserve"> opined that </w:t>
      </w:r>
      <w:r w:rsidR="009A3203">
        <w:t>the</w:t>
      </w:r>
      <w:r w:rsidR="00D84887">
        <w:t xml:space="preserve"> use of a </w:t>
      </w:r>
      <w:r w:rsidRPr="001D31DC">
        <w:t>“patchwork” of laws</w:t>
      </w:r>
      <w:r w:rsidR="00D84887">
        <w:t xml:space="preserve"> to prosecute voyeurism </w:t>
      </w:r>
      <w:r w:rsidR="003B6C45">
        <w:t xml:space="preserve">was </w:t>
      </w:r>
      <w:r w:rsidR="00D84887">
        <w:t>unsatisfactory</w:t>
      </w:r>
      <w:bookmarkEnd w:id="5"/>
      <w:r w:rsidRPr="001D31DC">
        <w:t>,</w:t>
      </w:r>
      <w:r w:rsidR="00836F55" w:rsidRPr="001D31DC">
        <w:t xml:space="preserve"> </w:t>
      </w:r>
      <w:r w:rsidRPr="001D31DC">
        <w:t>and highlighted that technology ha</w:t>
      </w:r>
      <w:r w:rsidR="00155E30" w:rsidRPr="001D31DC">
        <w:t>s</w:t>
      </w:r>
      <w:r w:rsidRPr="001D31DC">
        <w:t xml:space="preserve"> made the offences even more pernicious</w:t>
      </w:r>
      <w:r w:rsidR="00EA48CF" w:rsidRPr="001D31DC">
        <w:t>.</w:t>
      </w:r>
      <w:r w:rsidR="000249F0" w:rsidRPr="001D31DC">
        <w:rPr>
          <w:rStyle w:val="FootnoteReference"/>
        </w:rPr>
        <w:footnoteReference w:id="21"/>
      </w:r>
      <w:r w:rsidR="000249F0" w:rsidRPr="001D31DC">
        <w:t xml:space="preserve"> </w:t>
      </w:r>
      <w:r w:rsidR="00D84887">
        <w:t xml:space="preserve">The fact </w:t>
      </w:r>
      <w:r w:rsidR="00155E30" w:rsidRPr="001D31DC">
        <w:t>that</w:t>
      </w:r>
      <w:r w:rsidR="000249F0" w:rsidRPr="001D31DC">
        <w:t xml:space="preserve"> the </w:t>
      </w:r>
      <w:r w:rsidR="005829E9" w:rsidRPr="001D31DC">
        <w:t xml:space="preserve">statutory </w:t>
      </w:r>
      <w:r w:rsidR="000249F0" w:rsidRPr="001D31DC">
        <w:t>offence of insulting modesty applie</w:t>
      </w:r>
      <w:r w:rsidR="00DB07CD">
        <w:t>d</w:t>
      </w:r>
      <w:r w:rsidR="00C5481D" w:rsidRPr="001D31DC">
        <w:t xml:space="preserve"> to</w:t>
      </w:r>
      <w:r w:rsidR="000249F0" w:rsidRPr="001D31DC">
        <w:t xml:space="preserve"> only women</w:t>
      </w:r>
      <w:r w:rsidR="00D84887">
        <w:t xml:space="preserve"> was also </w:t>
      </w:r>
      <w:r w:rsidR="00617E39">
        <w:t>said</w:t>
      </w:r>
      <w:r w:rsidR="00D84887">
        <w:t xml:space="preserve"> to be problematic</w:t>
      </w:r>
      <w:r w:rsidR="000249F0" w:rsidRPr="001D31DC">
        <w:t>.</w:t>
      </w:r>
      <w:r w:rsidR="000249F0" w:rsidRPr="001D31DC">
        <w:rPr>
          <w:rStyle w:val="FootnoteReference"/>
        </w:rPr>
        <w:footnoteReference w:id="22"/>
      </w:r>
      <w:r w:rsidR="00F11615" w:rsidRPr="001D31DC">
        <w:t xml:space="preserve"> </w:t>
      </w:r>
      <w:r w:rsidR="0015767D">
        <w:t>It stated</w:t>
      </w:r>
      <w:r w:rsidR="00E7092B">
        <w:t xml:space="preserve"> that the ease with which images could be “created, uploaded, and downloaded on various platforms” –</w:t>
      </w:r>
      <w:r w:rsidR="00855D03">
        <w:t xml:space="preserve"> and the fact that</w:t>
      </w:r>
      <w:r w:rsidR="00E7092B">
        <w:t xml:space="preserve"> it is very difficult to remove such images subsequently – meant a “stronger and consistent response” was needed to address both actual and threatened distribution of intimate images.</w:t>
      </w:r>
      <w:r w:rsidR="00CF7EBE">
        <w:rPr>
          <w:rStyle w:val="FootnoteReference"/>
        </w:rPr>
        <w:footnoteReference w:id="23"/>
      </w:r>
      <w:r w:rsidR="00E7092B">
        <w:t xml:space="preserve"> </w:t>
      </w:r>
      <w:r w:rsidR="00F236EB">
        <w:t xml:space="preserve">Thus, the Committee </w:t>
      </w:r>
      <w:r w:rsidR="003B308B" w:rsidRPr="001D31DC">
        <w:t xml:space="preserve">recommended </w:t>
      </w:r>
      <w:r w:rsidR="00027E23">
        <w:t>en</w:t>
      </w:r>
      <w:r w:rsidR="00E9171D">
        <w:t>a</w:t>
      </w:r>
      <w:r w:rsidR="00027E23">
        <w:t>cting</w:t>
      </w:r>
      <w:r w:rsidR="008251D8">
        <w:t xml:space="preserve"> </w:t>
      </w:r>
      <w:r w:rsidR="00F236EB">
        <w:t xml:space="preserve"> </w:t>
      </w:r>
      <w:r w:rsidR="003B308B" w:rsidRPr="001D31DC">
        <w:t>specific penal provision</w:t>
      </w:r>
      <w:r w:rsidR="008251D8">
        <w:t>s</w:t>
      </w:r>
      <w:r w:rsidR="003B308B" w:rsidRPr="001D31DC">
        <w:t xml:space="preserve"> </w:t>
      </w:r>
      <w:r w:rsidR="00F236EB">
        <w:t>against voyeurism</w:t>
      </w:r>
      <w:r w:rsidR="008251D8">
        <w:t xml:space="preserve"> and the distribution of, or threat to distribute, intimate images.</w:t>
      </w:r>
      <w:r w:rsidR="004458F8">
        <w:rPr>
          <w:rStyle w:val="FootnoteReference"/>
        </w:rPr>
        <w:footnoteReference w:id="24"/>
      </w:r>
      <w:r w:rsidR="008251D8">
        <w:t xml:space="preserve"> </w:t>
      </w:r>
      <w:r w:rsidR="00F236EB">
        <w:t xml:space="preserve"> </w:t>
      </w:r>
    </w:p>
    <w:p w14:paraId="48F60A35" w14:textId="287F84BD" w:rsidR="00B27C05" w:rsidRDefault="00F11615" w:rsidP="00B27C05">
      <w:pPr>
        <w:pStyle w:val="Heading2"/>
      </w:pPr>
      <w:bookmarkStart w:id="6" w:name="_Toc532382592"/>
      <w:r w:rsidRPr="001D31DC">
        <w:t xml:space="preserve">Elements of the </w:t>
      </w:r>
      <w:r w:rsidRPr="00B374D8">
        <w:t>Proposed</w:t>
      </w:r>
      <w:r w:rsidRPr="001D31DC">
        <w:t xml:space="preserve"> Offence</w:t>
      </w:r>
      <w:bookmarkEnd w:id="6"/>
      <w:r w:rsidRPr="001D31DC">
        <w:t xml:space="preserve"> </w:t>
      </w:r>
    </w:p>
    <w:p w14:paraId="3F13FD49" w14:textId="77777777" w:rsidR="00B27C05" w:rsidRPr="00B27C05" w:rsidRDefault="00B27C05" w:rsidP="00B27C05"/>
    <w:p w14:paraId="21982341" w14:textId="4FDB2F73" w:rsidR="006C0A05" w:rsidRDefault="00E8162F" w:rsidP="00B27C05">
      <w:pPr>
        <w:pStyle w:val="SALparagraphs"/>
        <w:spacing w:line="360" w:lineRule="auto"/>
      </w:pPr>
      <w:r>
        <w:t>Focusing on voyeurism, t</w:t>
      </w:r>
      <w:r w:rsidR="00932E98">
        <w:t xml:space="preserve">he new offence </w:t>
      </w:r>
      <w:r w:rsidR="00932E98" w:rsidRPr="00932E98">
        <w:t xml:space="preserve">prohibits a person from: </w:t>
      </w:r>
    </w:p>
    <w:p w14:paraId="02301F78" w14:textId="2C2AA3BE" w:rsidR="006C0A05" w:rsidRDefault="00932E98" w:rsidP="00B27C05">
      <w:pPr>
        <w:pStyle w:val="SALparagraphs"/>
        <w:numPr>
          <w:ilvl w:val="0"/>
          <w:numId w:val="26"/>
        </w:numPr>
        <w:spacing w:line="360" w:lineRule="auto"/>
      </w:pPr>
      <w:r w:rsidRPr="00932E98">
        <w:t>intentionally observing another person</w:t>
      </w:r>
      <w:r w:rsidR="0096309D" w:rsidDel="0096309D">
        <w:t xml:space="preserve"> </w:t>
      </w:r>
      <w:r w:rsidR="0096309D">
        <w:t>doing a private act, without that person’s consent</w:t>
      </w:r>
      <w:r w:rsidR="006C0A05">
        <w:t>;</w:t>
      </w:r>
      <w:r w:rsidR="0096309D">
        <w:t xml:space="preserve"> </w:t>
      </w:r>
      <w:r w:rsidR="0096309D" w:rsidRPr="00451C2E">
        <w:rPr>
          <w:i/>
        </w:rPr>
        <w:t>and</w:t>
      </w:r>
    </w:p>
    <w:p w14:paraId="30443C6D" w14:textId="43FD07F8" w:rsidR="006C0A05" w:rsidRDefault="00932E98" w:rsidP="00B27C05">
      <w:pPr>
        <w:pStyle w:val="SALparagraphs"/>
        <w:numPr>
          <w:ilvl w:val="0"/>
          <w:numId w:val="26"/>
        </w:numPr>
        <w:spacing w:line="360" w:lineRule="auto"/>
      </w:pPr>
      <w:r w:rsidRPr="00932E98">
        <w:lastRenderedPageBreak/>
        <w:t xml:space="preserve"> with knowledge or reason to believe that that person did not consent to being observed.</w:t>
      </w:r>
      <w:r w:rsidRPr="00932E98">
        <w:rPr>
          <w:vertAlign w:val="superscript"/>
        </w:rPr>
        <w:footnoteReference w:id="25"/>
      </w:r>
      <w:r w:rsidRPr="00932E98">
        <w:t xml:space="preserve"> </w:t>
      </w:r>
    </w:p>
    <w:p w14:paraId="5D279C1E" w14:textId="77777777" w:rsidR="00B27C05" w:rsidRDefault="00B27C05" w:rsidP="00B27C05">
      <w:pPr>
        <w:pStyle w:val="SALparagraphs"/>
        <w:numPr>
          <w:ilvl w:val="0"/>
          <w:numId w:val="0"/>
        </w:numPr>
        <w:spacing w:line="360" w:lineRule="auto"/>
        <w:ind w:left="1440"/>
      </w:pPr>
    </w:p>
    <w:p w14:paraId="775EF0E5" w14:textId="77777777" w:rsidR="00B374D8" w:rsidRDefault="00932E98" w:rsidP="00B27C05">
      <w:pPr>
        <w:pStyle w:val="SALparagraphs"/>
        <w:spacing w:line="360" w:lineRule="auto"/>
      </w:pPr>
      <w:r w:rsidRPr="00932E98">
        <w:t>Further, a person is said to be doing a private act where he is under circumstances in which</w:t>
      </w:r>
      <w:r w:rsidR="00B374D8">
        <w:t xml:space="preserve">: </w:t>
      </w:r>
    </w:p>
    <w:p w14:paraId="78E32F8C" w14:textId="44B265B8" w:rsidR="006C0A05" w:rsidRPr="00451C2E" w:rsidRDefault="00932E98" w:rsidP="00B27C05">
      <w:pPr>
        <w:pStyle w:val="SALparagraphs"/>
        <w:numPr>
          <w:ilvl w:val="0"/>
          <w:numId w:val="29"/>
        </w:numPr>
        <w:spacing w:line="360" w:lineRule="auto"/>
      </w:pPr>
      <w:r w:rsidRPr="00932E98">
        <w:t xml:space="preserve">he has a reasonable expectation of privacy, </w:t>
      </w:r>
      <w:r w:rsidRPr="00932E98">
        <w:rPr>
          <w:i/>
        </w:rPr>
        <w:t>and</w:t>
      </w:r>
      <w:r w:rsidR="006C0A05">
        <w:t>;</w:t>
      </w:r>
    </w:p>
    <w:p w14:paraId="7F6784F2" w14:textId="1128E040" w:rsidR="006C0A05" w:rsidRDefault="006C0A05" w:rsidP="00B27C05">
      <w:pPr>
        <w:pStyle w:val="SALparagraphs"/>
        <w:numPr>
          <w:ilvl w:val="0"/>
          <w:numId w:val="29"/>
        </w:numPr>
        <w:spacing w:line="360" w:lineRule="auto"/>
      </w:pPr>
      <w:r>
        <w:t xml:space="preserve"> is</w:t>
      </w:r>
      <w:r w:rsidR="00932E98" w:rsidRPr="00932E98">
        <w:t xml:space="preserve"> in a state where his private parts are exposed or covered only in underwear; </w:t>
      </w:r>
    </w:p>
    <w:p w14:paraId="4E2B76C9" w14:textId="0B3B5136" w:rsidR="006C0A05" w:rsidRDefault="00932E98" w:rsidP="00B27C05">
      <w:pPr>
        <w:pStyle w:val="SALparagraphs"/>
        <w:numPr>
          <w:ilvl w:val="0"/>
          <w:numId w:val="29"/>
        </w:numPr>
        <w:spacing w:line="360" w:lineRule="auto"/>
      </w:pPr>
      <w:r w:rsidRPr="00932E98">
        <w:t xml:space="preserve">using a toilet, showering or bathing; or </w:t>
      </w:r>
    </w:p>
    <w:p w14:paraId="2671B380" w14:textId="22E50791" w:rsidR="00932E98" w:rsidRDefault="00932E98" w:rsidP="00B27C05">
      <w:pPr>
        <w:pStyle w:val="SALparagraphs"/>
        <w:numPr>
          <w:ilvl w:val="0"/>
          <w:numId w:val="29"/>
        </w:numPr>
        <w:spacing w:line="360" w:lineRule="auto"/>
      </w:pPr>
      <w:r w:rsidRPr="00932E98">
        <w:t>doing a sexual act “not of a kind ordinarily done in public.”</w:t>
      </w:r>
      <w:r w:rsidRPr="00932E98">
        <w:rPr>
          <w:vertAlign w:val="superscript"/>
        </w:rPr>
        <w:footnoteReference w:id="26"/>
      </w:r>
      <w:r w:rsidRPr="00932E98">
        <w:t xml:space="preserve"> </w:t>
      </w:r>
    </w:p>
    <w:p w14:paraId="40F482CB" w14:textId="77777777" w:rsidR="006C0A05" w:rsidRDefault="006C0A05" w:rsidP="00B27C05">
      <w:pPr>
        <w:pStyle w:val="SALparagraphs"/>
        <w:numPr>
          <w:ilvl w:val="0"/>
          <w:numId w:val="0"/>
        </w:numPr>
        <w:spacing w:line="360" w:lineRule="auto"/>
        <w:ind w:left="357" w:hanging="357"/>
      </w:pPr>
    </w:p>
    <w:p w14:paraId="06E54FC4" w14:textId="617A9225" w:rsidR="00932E98" w:rsidRPr="00932E98" w:rsidRDefault="00932E98" w:rsidP="00B27C05">
      <w:pPr>
        <w:pStyle w:val="SALparagraphs"/>
        <w:spacing w:line="360" w:lineRule="auto"/>
      </w:pPr>
      <w:r w:rsidRPr="00932E98">
        <w:t>Additionally, in relation to the element of non-consent</w:t>
      </w:r>
      <w:r>
        <w:t xml:space="preserve">, </w:t>
      </w:r>
      <w:r w:rsidRPr="00932E98">
        <w:t xml:space="preserve">the Government has introduced a presumption to the effect that where a person is proven to have made a recording of another person doing a private act or his or her private parts, </w:t>
      </w:r>
      <w:r w:rsidR="006C0A05">
        <w:t>i</w:t>
      </w:r>
      <w:r w:rsidRPr="00932E98">
        <w:t xml:space="preserve">n circumstances </w:t>
      </w:r>
      <w:r w:rsidR="006C0A05">
        <w:t xml:space="preserve">where </w:t>
      </w:r>
      <w:r w:rsidRPr="00932E98">
        <w:t>such parts “would not otherwise be visible,” it is presumed that the person depicted had not consented to being recorded.</w:t>
      </w:r>
      <w:r w:rsidRPr="00932E98">
        <w:rPr>
          <w:vertAlign w:val="superscript"/>
        </w:rPr>
        <w:footnoteReference w:id="27"/>
      </w:r>
      <w:r>
        <w:t xml:space="preserve"> </w:t>
      </w:r>
      <w:r w:rsidRPr="00932E98">
        <w:t>The burden would then be on the recorder to prove that the subject of the recording had consented. The presumption</w:t>
      </w:r>
      <w:r w:rsidR="003B6C45">
        <w:t xml:space="preserve"> </w:t>
      </w:r>
      <w:r w:rsidRPr="00932E98">
        <w:t>is intended to overcome the evidential difficulties in identifying or locating victims.</w:t>
      </w:r>
      <w:r w:rsidRPr="00932E98">
        <w:rPr>
          <w:vertAlign w:val="superscript"/>
        </w:rPr>
        <w:footnoteReference w:id="28"/>
      </w:r>
      <w:r w:rsidRPr="00932E98" w:rsidDel="00C746FB">
        <w:t xml:space="preserve"> </w:t>
      </w:r>
    </w:p>
    <w:p w14:paraId="31EBA4DE" w14:textId="0101911B" w:rsidR="00932E98" w:rsidRPr="00932E98" w:rsidRDefault="00932E98" w:rsidP="00B27C05">
      <w:pPr>
        <w:pStyle w:val="SALparagraphs"/>
        <w:numPr>
          <w:ilvl w:val="0"/>
          <w:numId w:val="0"/>
        </w:numPr>
        <w:spacing w:line="360" w:lineRule="auto"/>
        <w:ind w:left="357" w:hanging="357"/>
      </w:pPr>
    </w:p>
    <w:p w14:paraId="0C152E10" w14:textId="552A7644" w:rsidR="0089394C" w:rsidRDefault="00FB2432" w:rsidP="00B27C05">
      <w:pPr>
        <w:pStyle w:val="SALparagraphs"/>
        <w:spacing w:line="360" w:lineRule="auto"/>
      </w:pPr>
      <w:r>
        <w:t>That said, this does not foreclose the possibility of such attempts being prosecuted as “inchoate offences” under s 511 of the Penal Code – which provision itself has been  clarified in the upcoming Penal Code amendments.</w:t>
      </w:r>
      <w:r>
        <w:rPr>
          <w:rStyle w:val="FootnoteReference"/>
        </w:rPr>
        <w:footnoteReference w:id="29"/>
      </w:r>
      <w:r>
        <w:t xml:space="preserve"> </w:t>
      </w:r>
      <w:r w:rsidR="00932E98">
        <w:t xml:space="preserve">In relation to the second element </w:t>
      </w:r>
      <w:r w:rsidR="00932E98">
        <w:lastRenderedPageBreak/>
        <w:t xml:space="preserve">of </w:t>
      </w:r>
      <w:r w:rsidR="008A6EAE">
        <w:t>a private act</w:t>
      </w:r>
      <w:r w:rsidR="00932E98">
        <w:t xml:space="preserve">, </w:t>
      </w:r>
      <w:bookmarkStart w:id="7" w:name="_Hlk13262318"/>
      <w:r w:rsidR="00932E98">
        <w:t>t</w:t>
      </w:r>
      <w:r w:rsidR="00182BB2">
        <w:t xml:space="preserve">he fact </w:t>
      </w:r>
      <w:bookmarkEnd w:id="7"/>
      <w:r w:rsidR="006C0A05">
        <w:t xml:space="preserve">that </w:t>
      </w:r>
      <w:r w:rsidR="00932E98">
        <w:t>the victim is required to have been exposed in some manner</w:t>
      </w:r>
      <w:r w:rsidR="00182BB2">
        <w:t xml:space="preserve"> </w:t>
      </w:r>
      <w:r w:rsidR="00287E42">
        <w:t xml:space="preserve">suggests </w:t>
      </w:r>
      <w:r w:rsidR="00932E98">
        <w:t xml:space="preserve">that </w:t>
      </w:r>
      <w:r w:rsidR="00182BB2">
        <w:t xml:space="preserve">the Government is concerned </w:t>
      </w:r>
      <w:r w:rsidR="00287E42">
        <w:t xml:space="preserve">only with instances </w:t>
      </w:r>
      <w:r w:rsidR="00703551">
        <w:t xml:space="preserve">where </w:t>
      </w:r>
      <w:r w:rsidR="00287E42">
        <w:t xml:space="preserve">damage has actualised. </w:t>
      </w:r>
      <w:r w:rsidR="00820010">
        <w:t xml:space="preserve">Thus, </w:t>
      </w:r>
      <w:r w:rsidR="006C0A05">
        <w:t xml:space="preserve">situations without any actual damage or invasion of privacy will not constitute </w:t>
      </w:r>
      <w:r w:rsidR="00C120EE">
        <w:t xml:space="preserve">an </w:t>
      </w:r>
      <w:r w:rsidR="006C0A05">
        <w:t>offence</w:t>
      </w:r>
      <w:r w:rsidR="00956B33">
        <w:t>.</w:t>
      </w:r>
      <w:r w:rsidR="006C0A05">
        <w:t xml:space="preserve"> </w:t>
      </w:r>
      <w:r w:rsidR="00956B33">
        <w:t>F</w:t>
      </w:r>
      <w:r w:rsidR="006C0A05">
        <w:t xml:space="preserve">or example, where </w:t>
      </w:r>
      <w:r w:rsidR="00287E42">
        <w:t>a person installed concealed cameras in circumstances where another person might reasonably expect privacy, but failed to observe any activities of that nature</w:t>
      </w:r>
      <w:r w:rsidR="00BD0E2B">
        <w:t>, there will be no offence</w:t>
      </w:r>
      <w:r w:rsidR="00287E42">
        <w:t>.</w:t>
      </w:r>
      <w:r w:rsidR="007E4ACB">
        <w:rPr>
          <w:rStyle w:val="FootnoteReference"/>
        </w:rPr>
        <w:footnoteReference w:id="30"/>
      </w:r>
    </w:p>
    <w:p w14:paraId="5360757C" w14:textId="77777777" w:rsidR="00FB2432" w:rsidRDefault="00FB2432" w:rsidP="00F62C20">
      <w:pPr>
        <w:pStyle w:val="SALparagraphs"/>
        <w:numPr>
          <w:ilvl w:val="0"/>
          <w:numId w:val="0"/>
        </w:numPr>
        <w:spacing w:line="360" w:lineRule="auto"/>
      </w:pPr>
    </w:p>
    <w:p w14:paraId="3930D24A" w14:textId="1110B206" w:rsidR="00D6177A" w:rsidRPr="001D31DC" w:rsidRDefault="00D6177A" w:rsidP="00B27C05">
      <w:pPr>
        <w:pStyle w:val="SALparagraphs"/>
        <w:spacing w:line="360" w:lineRule="auto"/>
      </w:pPr>
      <w:r>
        <w:t xml:space="preserve">As for the </w:t>
      </w:r>
      <w:r w:rsidR="00360420">
        <w:t>distribution of voyeuristic images or recordings,</w:t>
      </w:r>
      <w:r w:rsidR="004520A5">
        <w:t xml:space="preserve"> the </w:t>
      </w:r>
      <w:proofErr w:type="spellStart"/>
      <w:r w:rsidR="00BC1326">
        <w:t>ne</w:t>
      </w:r>
      <w:r w:rsidR="00B374D8">
        <w:t>w</w:t>
      </w:r>
      <w:r w:rsidR="00BC1326">
        <w:t xml:space="preserve"> </w:t>
      </w:r>
      <w:r w:rsidR="00AA107C">
        <w:t>s</w:t>
      </w:r>
      <w:proofErr w:type="spellEnd"/>
      <w:r w:rsidR="00AA107C">
        <w:t xml:space="preserve"> </w:t>
      </w:r>
      <w:r w:rsidR="004520A5">
        <w:t xml:space="preserve">337BC of the Penal Code criminalises </w:t>
      </w:r>
      <w:r w:rsidR="00E01A37">
        <w:t>the distribution</w:t>
      </w:r>
      <w:r w:rsidR="008433A9">
        <w:t xml:space="preserve"> of</w:t>
      </w:r>
      <w:r w:rsidR="00E01A37">
        <w:t xml:space="preserve"> (or possession in order to distribute)</w:t>
      </w:r>
      <w:r w:rsidR="004520A5">
        <w:t xml:space="preserve"> these images</w:t>
      </w:r>
      <w:r w:rsidR="00321A0C">
        <w:t>,</w:t>
      </w:r>
      <w:r w:rsidR="004520A5">
        <w:t xml:space="preserve"> “knowing or having reason to believe” that they were obtained via a voyeuristic offence, and that the subject of the image or recording does not consent to distribution.</w:t>
      </w:r>
      <w:r w:rsidR="004520A5">
        <w:rPr>
          <w:rStyle w:val="FootnoteReference"/>
        </w:rPr>
        <w:footnoteReference w:id="31"/>
      </w:r>
      <w:r w:rsidR="00321A0C">
        <w:t xml:space="preserve"> Additionally, the amendments criminalise the gaining of access to “intimate image(s) or recording(s)”</w:t>
      </w:r>
      <w:r w:rsidR="00B770ED">
        <w:t xml:space="preserve"> </w:t>
      </w:r>
      <w:r w:rsidR="00321A0C">
        <w:t>of another person, “know(</w:t>
      </w:r>
      <w:proofErr w:type="spellStart"/>
      <w:r w:rsidR="00321A0C">
        <w:t>ing</w:t>
      </w:r>
      <w:proofErr w:type="spellEnd"/>
      <w:r w:rsidR="00321A0C">
        <w:t xml:space="preserve">) or (with) reason to believe that this was without the consent of the subject of the image or recording and that such access would </w:t>
      </w:r>
      <w:r w:rsidR="00321A0C">
        <w:lastRenderedPageBreak/>
        <w:t>likely “cause humiliation, alarm or distress” to the person depicted;</w:t>
      </w:r>
      <w:r w:rsidR="00321A0C">
        <w:rPr>
          <w:rStyle w:val="FootnoteReference"/>
        </w:rPr>
        <w:footnoteReference w:id="32"/>
      </w:r>
      <w:r w:rsidR="00321A0C">
        <w:t xml:space="preserve"> as well as the threatening to distribute or actual distribution of such images.</w:t>
      </w:r>
      <w:r w:rsidR="00321A0C">
        <w:rPr>
          <w:rStyle w:val="FootnoteReference"/>
        </w:rPr>
        <w:footnoteReference w:id="33"/>
      </w:r>
      <w:r w:rsidR="00321A0C">
        <w:t xml:space="preserve"> </w:t>
      </w:r>
    </w:p>
    <w:p w14:paraId="5D8DCFA4" w14:textId="5BB29EEA" w:rsidR="00B27C05" w:rsidRDefault="00722EF9" w:rsidP="00B27C05">
      <w:pPr>
        <w:pStyle w:val="Heading2"/>
      </w:pPr>
      <w:bookmarkStart w:id="8" w:name="_Toc532382593"/>
      <w:r w:rsidRPr="001D31DC">
        <w:t xml:space="preserve">A </w:t>
      </w:r>
      <w:r w:rsidR="00A3623F" w:rsidRPr="001D31DC">
        <w:t xml:space="preserve">Reasonable </w:t>
      </w:r>
      <w:r w:rsidR="00A3623F" w:rsidRPr="00B374D8">
        <w:t>Expectation</w:t>
      </w:r>
      <w:r w:rsidR="00A3623F" w:rsidRPr="001D31DC">
        <w:t xml:space="preserve"> of Privacy?</w:t>
      </w:r>
      <w:bookmarkEnd w:id="8"/>
      <w:r w:rsidR="00224B8D" w:rsidRPr="001D31DC">
        <w:t xml:space="preserve"> </w:t>
      </w:r>
    </w:p>
    <w:p w14:paraId="6E8767EC" w14:textId="77777777" w:rsidR="00B27C05" w:rsidRPr="00B27C05" w:rsidRDefault="00B27C05" w:rsidP="00B27C05"/>
    <w:p w14:paraId="00A6B7A0" w14:textId="2B89D340" w:rsidR="009977BC" w:rsidRPr="001D31DC" w:rsidRDefault="00D30323" w:rsidP="00B27C05">
      <w:pPr>
        <w:pStyle w:val="SALparagraphs"/>
        <w:spacing w:line="360" w:lineRule="auto"/>
      </w:pPr>
      <w:r>
        <w:t>I</w:t>
      </w:r>
      <w:r w:rsidR="00844E09">
        <w:t>n</w:t>
      </w:r>
      <w:r w:rsidR="001D678D">
        <w:t xml:space="preserve"> relation to the voyeuristic offence, </w:t>
      </w:r>
      <w:r w:rsidR="007D5387">
        <w:t>the term “circumstances in which the person (doing a private act) has a reasonable expectation of privacy</w:t>
      </w:r>
      <w:r>
        <w:t xml:space="preserve">” has been left </w:t>
      </w:r>
      <w:r w:rsidR="001F19F5">
        <w:t>“</w:t>
      </w:r>
      <w:r>
        <w:t>open-ended,” as recommended by the Penal Code Review Committee.</w:t>
      </w:r>
      <w:r>
        <w:rPr>
          <w:rStyle w:val="FootnoteReference"/>
        </w:rPr>
        <w:footnoteReference w:id="34"/>
      </w:r>
      <w:r>
        <w:t xml:space="preserve"> </w:t>
      </w:r>
      <w:r w:rsidR="00FB7E85">
        <w:t xml:space="preserve">Nonetheless, </w:t>
      </w:r>
      <w:r w:rsidR="001F19F5">
        <w:t>a few observations may be made.</w:t>
      </w:r>
    </w:p>
    <w:p w14:paraId="5AE46E61" w14:textId="539D21BC" w:rsidR="00FB7E85" w:rsidRDefault="0035662F" w:rsidP="00B27C05">
      <w:pPr>
        <w:pStyle w:val="SALparagraphs"/>
        <w:spacing w:line="360" w:lineRule="auto"/>
      </w:pPr>
      <w:r w:rsidRPr="001D31DC">
        <w:t>First,</w:t>
      </w:r>
      <w:r w:rsidR="000801E8" w:rsidRPr="001D31DC">
        <w:t xml:space="preserve"> </w:t>
      </w:r>
      <w:r w:rsidRPr="001D31DC">
        <w:t xml:space="preserve">the concept of “circumstances” expresses that an act done in a public place may nevertheless be done in circumstances giving rise to a reasonable expectation of privacy. The classic example </w:t>
      </w:r>
      <w:r w:rsidR="004E5C3D" w:rsidRPr="001D31DC">
        <w:t>is</w:t>
      </w:r>
      <w:r w:rsidR="00925728">
        <w:t xml:space="preserve"> the</w:t>
      </w:r>
      <w:r w:rsidRPr="001D31DC">
        <w:t xml:space="preserve"> ‘up-skirt’ video taken in public: a reasonable expectation of privacy exists in relation to areas of the body that are covered or hidden.</w:t>
      </w:r>
      <w:r w:rsidRPr="001D31DC">
        <w:rPr>
          <w:rStyle w:val="FootnoteReference"/>
        </w:rPr>
        <w:footnoteReference w:id="35"/>
      </w:r>
      <w:r w:rsidRPr="001D31DC">
        <w:t xml:space="preserve"> </w:t>
      </w:r>
      <w:r w:rsidR="00BD14B7" w:rsidRPr="001D31DC">
        <w:t>Indeed, the</w:t>
      </w:r>
      <w:r w:rsidR="00050859">
        <w:t xml:space="preserve"> increasing availability of filming devices</w:t>
      </w:r>
      <w:r w:rsidR="00050859">
        <w:rPr>
          <w:rStyle w:val="FootnoteReference"/>
        </w:rPr>
        <w:footnoteReference w:id="36"/>
      </w:r>
      <w:r w:rsidR="00050859">
        <w:t xml:space="preserve"> </w:t>
      </w:r>
      <w:r w:rsidR="00BD14B7" w:rsidRPr="001D31DC">
        <w:t xml:space="preserve">has </w:t>
      </w:r>
      <w:r w:rsidR="006A3896" w:rsidRPr="001D31DC">
        <w:t>“disrupted normal expectations of public privacy,”</w:t>
      </w:r>
      <w:r w:rsidR="006A3896" w:rsidRPr="001D31DC">
        <w:rPr>
          <w:rStyle w:val="FootnoteReference"/>
        </w:rPr>
        <w:footnoteReference w:id="37"/>
      </w:r>
      <w:r w:rsidR="006A3896" w:rsidRPr="001D31DC">
        <w:t xml:space="preserve"> such </w:t>
      </w:r>
      <w:r w:rsidR="00327900" w:rsidRPr="001D31DC">
        <w:t xml:space="preserve">that it </w:t>
      </w:r>
      <w:r w:rsidR="00C228F0" w:rsidRPr="001D31DC">
        <w:t>is</w:t>
      </w:r>
      <w:r w:rsidR="00327900" w:rsidRPr="001D31DC">
        <w:t xml:space="preserve"> not meaningful to maintain any</w:t>
      </w:r>
      <w:r w:rsidR="006A3896" w:rsidRPr="001D31DC">
        <w:t xml:space="preserve"> binary distinction between public and private places in privacy law generall</w:t>
      </w:r>
      <w:r w:rsidR="00327900" w:rsidRPr="001D31DC">
        <w:t>y</w:t>
      </w:r>
      <w:r w:rsidR="006A3896" w:rsidRPr="001D31DC">
        <w:t>.</w:t>
      </w:r>
      <w:r w:rsidR="00FB7E85">
        <w:t xml:space="preserve"> </w:t>
      </w:r>
    </w:p>
    <w:p w14:paraId="4E240648" w14:textId="77777777" w:rsidR="00B27C05" w:rsidRDefault="00B27C05" w:rsidP="00B27C05">
      <w:pPr>
        <w:pStyle w:val="SALparagraphs"/>
        <w:numPr>
          <w:ilvl w:val="0"/>
          <w:numId w:val="0"/>
        </w:numPr>
        <w:spacing w:line="360" w:lineRule="auto"/>
        <w:ind w:left="720"/>
      </w:pPr>
    </w:p>
    <w:p w14:paraId="4E5A88C9" w14:textId="5711E1F4" w:rsidR="00173C4C" w:rsidRDefault="006B1BA5" w:rsidP="00B27C05">
      <w:pPr>
        <w:pStyle w:val="SALparagraphs"/>
        <w:spacing w:line="360" w:lineRule="auto"/>
      </w:pPr>
      <w:r w:rsidRPr="001D31DC">
        <w:t>Second,</w:t>
      </w:r>
      <w:r w:rsidR="0003310D" w:rsidRPr="001D31DC">
        <w:t xml:space="preserve"> </w:t>
      </w:r>
      <w:r w:rsidR="001A1E57" w:rsidRPr="001D31DC">
        <w:t xml:space="preserve">the </w:t>
      </w:r>
      <w:r w:rsidR="00722EF9" w:rsidRPr="001D31DC">
        <w:t>i</w:t>
      </w:r>
      <w:r w:rsidR="001A1E57" w:rsidRPr="001D31DC">
        <w:t>nquiry should be into the nature of the observation, rather than its purpose.</w:t>
      </w:r>
      <w:r w:rsidR="0079332E" w:rsidRPr="001D31DC">
        <w:rPr>
          <w:rStyle w:val="FootnoteReference"/>
        </w:rPr>
        <w:footnoteReference w:id="38"/>
      </w:r>
      <w:r w:rsidR="00607F49" w:rsidRPr="001D31DC">
        <w:t xml:space="preserve"> As emphasized by the English Court of Appeal in </w:t>
      </w:r>
      <w:r w:rsidR="00607F49" w:rsidRPr="001D31DC">
        <w:rPr>
          <w:i/>
        </w:rPr>
        <w:t>R v Bassett</w:t>
      </w:r>
      <w:r w:rsidR="00607F49" w:rsidRPr="001D31DC">
        <w:t xml:space="preserve">, </w:t>
      </w:r>
      <w:r w:rsidR="00786636" w:rsidRPr="001D31DC">
        <w:t>“</w:t>
      </w:r>
      <w:r w:rsidR="00607F49" w:rsidRPr="001D31DC">
        <w:t xml:space="preserve">it is clear from the statute that it is not voyeurism </w:t>
      </w:r>
      <w:r w:rsidR="00026B3F" w:rsidRPr="001D31DC">
        <w:t>to derive</w:t>
      </w:r>
      <w:r w:rsidR="00607F49" w:rsidRPr="001D31DC">
        <w:t xml:space="preserve"> sexual gratification from observing something which is not a private act.”</w:t>
      </w:r>
      <w:r w:rsidR="00607F49" w:rsidRPr="001D31DC">
        <w:rPr>
          <w:vertAlign w:val="superscript"/>
        </w:rPr>
        <w:footnoteReference w:id="39"/>
      </w:r>
      <w:r w:rsidR="00607F49" w:rsidRPr="001D31DC">
        <w:t xml:space="preserve"> </w:t>
      </w:r>
      <w:r w:rsidR="00232EBD">
        <w:t>F</w:t>
      </w:r>
      <w:r w:rsidR="00173C4C" w:rsidRPr="001D31DC">
        <w:t xml:space="preserve">or example, in </w:t>
      </w:r>
      <w:r w:rsidR="00173C4C" w:rsidRPr="001D31DC">
        <w:rPr>
          <w:i/>
        </w:rPr>
        <w:t xml:space="preserve">R v </w:t>
      </w:r>
      <w:proofErr w:type="spellStart"/>
      <w:r w:rsidR="00173C4C" w:rsidRPr="001D31DC">
        <w:rPr>
          <w:i/>
        </w:rPr>
        <w:t>Swyer</w:t>
      </w:r>
      <w:proofErr w:type="spellEnd"/>
      <w:r w:rsidR="00F31582">
        <w:t>,</w:t>
      </w:r>
      <w:r w:rsidR="00173C4C" w:rsidRPr="001D31DC">
        <w:rPr>
          <w:rStyle w:val="FootnoteReference"/>
        </w:rPr>
        <w:footnoteReference w:id="40"/>
      </w:r>
      <w:r w:rsidR="00F31582">
        <w:t xml:space="preserve"> a voyeurism case,</w:t>
      </w:r>
      <w:r w:rsidR="00173C4C" w:rsidRPr="001D31DC">
        <w:t xml:space="preserve"> </w:t>
      </w:r>
      <w:r w:rsidR="00232EBD">
        <w:t xml:space="preserve">some </w:t>
      </w:r>
      <w:r w:rsidR="00232EBD" w:rsidRPr="001D31DC">
        <w:t xml:space="preserve">marathon runners </w:t>
      </w:r>
      <w:r w:rsidR="00173C4C" w:rsidRPr="001D31DC">
        <w:t>went behind a hedge to urinate</w:t>
      </w:r>
      <w:r w:rsidR="00232EBD">
        <w:t>.</w:t>
      </w:r>
      <w:r w:rsidR="00173C4C" w:rsidRPr="001D31DC">
        <w:t xml:space="preserve"> </w:t>
      </w:r>
      <w:r w:rsidR="00232EBD">
        <w:t>T</w:t>
      </w:r>
      <w:r w:rsidR="00173C4C" w:rsidRPr="001D31DC">
        <w:t xml:space="preserve">hey would not have any </w:t>
      </w:r>
      <w:r w:rsidR="00173C4C" w:rsidRPr="001D31DC">
        <w:lastRenderedPageBreak/>
        <w:t xml:space="preserve">expectation of privacy from someone </w:t>
      </w:r>
      <w:r w:rsidR="00C8215D" w:rsidRPr="001D31DC">
        <w:t>like</w:t>
      </w:r>
      <w:r w:rsidR="00173C4C" w:rsidRPr="001D31DC">
        <w:t xml:space="preserve"> a dog walker </w:t>
      </w:r>
      <w:r w:rsidR="00230BE0" w:rsidRPr="001D31DC">
        <w:t>who might chance upon them,</w:t>
      </w:r>
      <w:r w:rsidR="00173C4C" w:rsidRPr="001D31DC">
        <w:t xml:space="preserve"> and there would not be any voyeurism even if he derived sexual gratification from what he saw. But if the dog walker loitered for many minutes and closely watched the runners relieving themselves, </w:t>
      </w:r>
      <w:r w:rsidR="00655A8F" w:rsidRPr="001D31DC">
        <w:t>the runners</w:t>
      </w:r>
      <w:r w:rsidR="007A6362" w:rsidRPr="001D31DC">
        <w:t xml:space="preserve"> could subsequently</w:t>
      </w:r>
      <w:r w:rsidR="00173C4C" w:rsidRPr="001D31DC">
        <w:t xml:space="preserve"> </w:t>
      </w:r>
      <w:r w:rsidR="00655A8F" w:rsidRPr="001D31DC">
        <w:t>have</w:t>
      </w:r>
      <w:r w:rsidR="00173C4C" w:rsidRPr="001D31DC">
        <w:t xml:space="preserve"> a reasonable expectation of privacy from that nature of observation.</w:t>
      </w:r>
      <w:r w:rsidR="00173C4C" w:rsidRPr="001D31DC">
        <w:rPr>
          <w:rStyle w:val="FootnoteReference"/>
        </w:rPr>
        <w:footnoteReference w:id="41"/>
      </w:r>
      <w:r w:rsidR="00173C4C" w:rsidRPr="001D31DC">
        <w:t xml:space="preserve"> </w:t>
      </w:r>
    </w:p>
    <w:p w14:paraId="641639C3" w14:textId="77777777" w:rsidR="00B27C05" w:rsidRPr="001D31DC" w:rsidRDefault="00B27C05" w:rsidP="00B27C05">
      <w:pPr>
        <w:pStyle w:val="SALparagraphs"/>
        <w:numPr>
          <w:ilvl w:val="0"/>
          <w:numId w:val="0"/>
        </w:numPr>
        <w:spacing w:line="360" w:lineRule="auto"/>
      </w:pPr>
    </w:p>
    <w:p w14:paraId="3B0B11F5" w14:textId="21928CC0" w:rsidR="00EE265A" w:rsidRDefault="00925728" w:rsidP="00B27C05">
      <w:pPr>
        <w:pStyle w:val="SALparagraphs"/>
        <w:spacing w:line="360" w:lineRule="auto"/>
      </w:pPr>
      <w:r>
        <w:t>The author t</w:t>
      </w:r>
      <w:r w:rsidR="0003310D" w:rsidRPr="001D31DC">
        <w:t>herefore propose</w:t>
      </w:r>
      <w:r>
        <w:t>s</w:t>
      </w:r>
      <w:r w:rsidR="0003310D" w:rsidRPr="001D31DC">
        <w:t xml:space="preserve"> that </w:t>
      </w:r>
      <w:r w:rsidR="00230BE0" w:rsidRPr="001D31DC">
        <w:t xml:space="preserve">a subject’s </w:t>
      </w:r>
      <w:r w:rsidR="0003310D" w:rsidRPr="001D31DC">
        <w:t>reasonable expectation of privacy for the offence</w:t>
      </w:r>
      <w:r w:rsidR="00230BE0" w:rsidRPr="001D31DC">
        <w:t xml:space="preserve"> </w:t>
      </w:r>
      <w:r>
        <w:t xml:space="preserve">should be </w:t>
      </w:r>
      <w:r w:rsidR="00230BE0" w:rsidRPr="001D31DC">
        <w:t xml:space="preserve">determined </w:t>
      </w:r>
      <w:r w:rsidR="0003310D" w:rsidRPr="001D31DC">
        <w:t xml:space="preserve">by </w:t>
      </w:r>
      <w:r w:rsidR="00270D0B">
        <w:t>the</w:t>
      </w:r>
      <w:r w:rsidR="0003310D" w:rsidRPr="001D31DC">
        <w:t xml:space="preserve"> totality of circumstances</w:t>
      </w:r>
      <w:r w:rsidR="00BF5E98">
        <w:t>,</w:t>
      </w:r>
      <w:r w:rsidR="00F52F66" w:rsidRPr="001D31DC">
        <w:rPr>
          <w:rStyle w:val="FootnoteReference"/>
        </w:rPr>
        <w:footnoteReference w:id="42"/>
      </w:r>
      <w:r w:rsidR="0003310D" w:rsidRPr="001D31DC">
        <w:t xml:space="preserve"> </w:t>
      </w:r>
      <w:r w:rsidR="0058702A" w:rsidRPr="001D31DC">
        <w:t>including</w:t>
      </w:r>
      <w:r w:rsidR="00EE265A">
        <w:t>:</w:t>
      </w:r>
    </w:p>
    <w:p w14:paraId="0340223F" w14:textId="58873314" w:rsidR="00EE265A" w:rsidRDefault="0003310D" w:rsidP="00B27C05">
      <w:pPr>
        <w:pStyle w:val="SALparagraphs"/>
        <w:numPr>
          <w:ilvl w:val="0"/>
          <w:numId w:val="15"/>
        </w:numPr>
        <w:spacing w:line="360" w:lineRule="auto"/>
      </w:pPr>
      <w:r w:rsidRPr="001D31DC">
        <w:t xml:space="preserve"> the nature of the person being observed (such as the degree of privacy that might be reasonably be expected by, for example, hiding behind a bush), and </w:t>
      </w:r>
    </w:p>
    <w:p w14:paraId="4A521C8C" w14:textId="77777777" w:rsidR="00EE265A" w:rsidRDefault="0003310D" w:rsidP="00B27C05">
      <w:pPr>
        <w:pStyle w:val="SALparagraphs"/>
        <w:numPr>
          <w:ilvl w:val="0"/>
          <w:numId w:val="15"/>
        </w:numPr>
        <w:spacing w:line="360" w:lineRule="auto"/>
      </w:pPr>
      <w:r w:rsidRPr="001D31DC">
        <w:t xml:space="preserve">nature of the observer </w:t>
      </w:r>
      <w:r w:rsidR="00B86B8F" w:rsidRPr="001D31DC">
        <w:t xml:space="preserve">and his observation </w:t>
      </w:r>
      <w:r w:rsidRPr="001D31DC">
        <w:t xml:space="preserve">(such as whether </w:t>
      </w:r>
      <w:r w:rsidR="00B86B8F" w:rsidRPr="001D31DC">
        <w:t xml:space="preserve">he </w:t>
      </w:r>
      <w:r w:rsidR="006C45C4" w:rsidRPr="001D31DC">
        <w:t>loitered to watch</w:t>
      </w:r>
      <w:r w:rsidR="00173C4C" w:rsidRPr="001D31DC">
        <w:t xml:space="preserve"> or</w:t>
      </w:r>
      <w:r w:rsidR="006C45C4" w:rsidRPr="001D31DC">
        <w:t xml:space="preserve">, to take another example, used </w:t>
      </w:r>
      <w:r w:rsidR="00173C4C" w:rsidRPr="001D31DC">
        <w:t>the zoom feature of a video camera to concentrate on the genital area and buttocks of young girls at a playground</w:t>
      </w:r>
      <w:r w:rsidR="00294904" w:rsidRPr="001D31DC">
        <w:t>).</w:t>
      </w:r>
      <w:r w:rsidR="00173C4C" w:rsidRPr="001D31DC">
        <w:rPr>
          <w:rStyle w:val="FootnoteReference"/>
        </w:rPr>
        <w:footnoteReference w:id="43"/>
      </w:r>
      <w:r w:rsidR="00173C4C" w:rsidRPr="001D31DC">
        <w:t xml:space="preserve"> </w:t>
      </w:r>
    </w:p>
    <w:p w14:paraId="504B8A6D" w14:textId="3D4148C5" w:rsidR="00607F49" w:rsidRDefault="008F6A45" w:rsidP="00B27C05">
      <w:pPr>
        <w:pStyle w:val="SALparagraphs"/>
        <w:numPr>
          <w:ilvl w:val="0"/>
          <w:numId w:val="0"/>
        </w:numPr>
        <w:spacing w:line="360" w:lineRule="auto"/>
        <w:ind w:left="720"/>
      </w:pPr>
      <w:r w:rsidRPr="001D31DC">
        <w:t>Such an assessment</w:t>
      </w:r>
      <w:r w:rsidR="009E429F">
        <w:t>,</w:t>
      </w:r>
      <w:r w:rsidRPr="001D31DC">
        <w:t xml:space="preserve"> involving the nature of </w:t>
      </w:r>
      <w:r w:rsidR="00073D1D" w:rsidRPr="001D31DC">
        <w:t>both</w:t>
      </w:r>
      <w:r w:rsidRPr="001D31DC">
        <w:t xml:space="preserve"> </w:t>
      </w:r>
      <w:r w:rsidR="00073D1D" w:rsidRPr="001D31DC">
        <w:t xml:space="preserve">the </w:t>
      </w:r>
      <w:r w:rsidRPr="001D31DC">
        <w:t>observed and observer</w:t>
      </w:r>
      <w:r w:rsidR="009E429F">
        <w:t>,</w:t>
      </w:r>
      <w:r w:rsidRPr="001D31DC">
        <w:t xml:space="preserve"> would </w:t>
      </w:r>
      <w:r w:rsidR="007A5CB2" w:rsidRPr="001D31DC">
        <w:t>substantiate</w:t>
      </w:r>
      <w:r w:rsidRPr="001D31DC">
        <w:t xml:space="preserve"> what is ultimately a normative </w:t>
      </w:r>
      <w:r w:rsidR="00722EF9" w:rsidRPr="001D31DC">
        <w:t>i</w:t>
      </w:r>
      <w:r w:rsidR="007A5CB2" w:rsidRPr="001D31DC">
        <w:t>nquiry</w:t>
      </w:r>
      <w:r w:rsidRPr="001D31DC">
        <w:t>.</w:t>
      </w:r>
      <w:r w:rsidR="00B00655" w:rsidRPr="001D31DC">
        <w:rPr>
          <w:rStyle w:val="FootnoteReference"/>
        </w:rPr>
        <w:footnoteReference w:id="44"/>
      </w:r>
      <w:r w:rsidRPr="001D31DC">
        <w:t xml:space="preserve">  </w:t>
      </w:r>
    </w:p>
    <w:p w14:paraId="0C918A7B" w14:textId="77777777" w:rsidR="00B27C05" w:rsidRPr="001D31DC" w:rsidRDefault="00B27C05" w:rsidP="00B27C05">
      <w:pPr>
        <w:pStyle w:val="SALparagraphs"/>
        <w:numPr>
          <w:ilvl w:val="0"/>
          <w:numId w:val="0"/>
        </w:numPr>
        <w:spacing w:line="360" w:lineRule="auto"/>
        <w:ind w:left="720"/>
      </w:pPr>
    </w:p>
    <w:p w14:paraId="524F8C77" w14:textId="7592B4E2" w:rsidR="00B27C05" w:rsidRDefault="004A1811" w:rsidP="00B27C05">
      <w:pPr>
        <w:pStyle w:val="SALparagraphs"/>
        <w:spacing w:line="360" w:lineRule="auto"/>
      </w:pPr>
      <w:r w:rsidRPr="001D31DC">
        <w:t>As a final note, although the concept of a “reasonable expectation of privacy” has been employed elsewhere – predominantly in claims of misuse of private information</w:t>
      </w:r>
      <w:r w:rsidRPr="001D31DC">
        <w:rPr>
          <w:rStyle w:val="FootnoteReference"/>
        </w:rPr>
        <w:footnoteReference w:id="45"/>
      </w:r>
      <w:r w:rsidRPr="001D31DC">
        <w:t xml:space="preserve"> and search and seizure contexts</w:t>
      </w:r>
      <w:r w:rsidR="00D24379" w:rsidRPr="001D31DC">
        <w:rPr>
          <w:rStyle w:val="FootnoteReference"/>
        </w:rPr>
        <w:footnoteReference w:id="46"/>
      </w:r>
      <w:r w:rsidRPr="001D31DC">
        <w:t xml:space="preserve"> </w:t>
      </w:r>
      <w:r w:rsidR="002609B5" w:rsidRPr="001D31DC">
        <w:t>–</w:t>
      </w:r>
      <w:r w:rsidR="002609B5">
        <w:t xml:space="preserve"> </w:t>
      </w:r>
      <w:r w:rsidR="00B029AE" w:rsidRPr="001D31DC">
        <w:t xml:space="preserve">caution must be sounded against applying the same analysis. </w:t>
      </w:r>
      <w:r w:rsidR="004B344B" w:rsidRPr="001D31DC">
        <w:t xml:space="preserve">This is as the former </w:t>
      </w:r>
      <w:r w:rsidR="00925728">
        <w:t xml:space="preserve">considers not </w:t>
      </w:r>
      <w:r w:rsidR="004B344B" w:rsidRPr="001D31DC">
        <w:t>just the circumstances</w:t>
      </w:r>
      <w:r w:rsidR="000315AE">
        <w:t>,</w:t>
      </w:r>
      <w:r w:rsidR="004B344B" w:rsidRPr="001D31DC">
        <w:t xml:space="preserve"> but the information </w:t>
      </w:r>
      <w:r w:rsidR="004B344B" w:rsidRPr="001D31DC">
        <w:lastRenderedPageBreak/>
        <w:t>concerned</w:t>
      </w:r>
      <w:r w:rsidR="000315AE">
        <w:t xml:space="preserve"> as well</w:t>
      </w:r>
      <w:r w:rsidR="00925728">
        <w:t>.</w:t>
      </w:r>
      <w:r w:rsidR="00B029AE" w:rsidRPr="001D31DC">
        <w:rPr>
          <w:rStyle w:val="FootnoteReference"/>
        </w:rPr>
        <w:footnoteReference w:id="47"/>
      </w:r>
      <w:r w:rsidR="00BB6F2D" w:rsidRPr="001D31DC">
        <w:t xml:space="preserve"> </w:t>
      </w:r>
      <w:r w:rsidR="00925728">
        <w:t xml:space="preserve">The </w:t>
      </w:r>
      <w:r w:rsidR="004B344B" w:rsidRPr="001D31DC">
        <w:t xml:space="preserve">latter has even less relevance as there are no compelling state </w:t>
      </w:r>
      <w:r w:rsidR="008B40BA" w:rsidRPr="001D31DC">
        <w:t xml:space="preserve">interests here </w:t>
      </w:r>
      <w:r w:rsidR="0045093F">
        <w:t xml:space="preserve">which justify </w:t>
      </w:r>
      <w:r w:rsidR="008B40BA" w:rsidRPr="001D31DC">
        <w:t>compromising privacy rights</w:t>
      </w:r>
      <w:r w:rsidR="00BD5327" w:rsidRPr="001D31DC">
        <w:t>.</w:t>
      </w:r>
      <w:r w:rsidR="008B40BA" w:rsidRPr="001D31DC">
        <w:rPr>
          <w:rStyle w:val="FootnoteReference"/>
        </w:rPr>
        <w:footnoteReference w:id="48"/>
      </w:r>
      <w:r w:rsidR="008B40BA" w:rsidRPr="001D31DC">
        <w:t xml:space="preserve"> </w:t>
      </w:r>
    </w:p>
    <w:p w14:paraId="043D2D4C" w14:textId="5BAABEAC" w:rsidR="00B61E5C" w:rsidRDefault="00DC40D1" w:rsidP="00B27C05">
      <w:pPr>
        <w:pStyle w:val="Heading2"/>
      </w:pPr>
      <w:bookmarkStart w:id="9" w:name="_Toc532382594"/>
      <w:r>
        <w:t xml:space="preserve">Sentencing </w:t>
      </w:r>
      <w:r w:rsidR="00786AD9">
        <w:t>Considerations</w:t>
      </w:r>
      <w:bookmarkEnd w:id="9"/>
    </w:p>
    <w:p w14:paraId="4061A2BA" w14:textId="77777777" w:rsidR="00B27C05" w:rsidRPr="00B27C05" w:rsidRDefault="00B27C05" w:rsidP="00B27C05"/>
    <w:p w14:paraId="6BAC6F78" w14:textId="18324980" w:rsidR="00171477" w:rsidRDefault="00FD1569" w:rsidP="00B27C05">
      <w:pPr>
        <w:pStyle w:val="SALparagraphs"/>
        <w:spacing w:line="360" w:lineRule="auto"/>
      </w:pPr>
      <w:r>
        <w:t>As some voyeurs may well have offended due to a mental disorder,</w:t>
      </w:r>
      <w:r>
        <w:rPr>
          <w:rStyle w:val="FootnoteReference"/>
        </w:rPr>
        <w:footnoteReference w:id="49"/>
      </w:r>
      <w:r>
        <w:t xml:space="preserve"> s</w:t>
      </w:r>
      <w:r w:rsidR="001229CF">
        <w:t xml:space="preserve">entencing for the voyeuristic offence </w:t>
      </w:r>
      <w:r>
        <w:t xml:space="preserve">may </w:t>
      </w:r>
      <w:r w:rsidR="00575FD8">
        <w:t xml:space="preserve">engage </w:t>
      </w:r>
      <w:r w:rsidR="00925728">
        <w:t xml:space="preserve">additional </w:t>
      </w:r>
      <w:r w:rsidR="00575FD8">
        <w:t xml:space="preserve">considerations concomitant with sentencing mentally disordered offenders. </w:t>
      </w:r>
      <w:r w:rsidR="00925728">
        <w:t xml:space="preserve">In </w:t>
      </w:r>
      <w:r w:rsidR="006D146D">
        <w:t>sentencing such offenders</w:t>
      </w:r>
      <w:r w:rsidR="00FB7E85">
        <w:t>,</w:t>
      </w:r>
      <w:r w:rsidR="00575FD8">
        <w:t xml:space="preserve"> </w:t>
      </w:r>
      <w:r w:rsidR="00925728">
        <w:t xml:space="preserve">there is </w:t>
      </w:r>
      <w:r w:rsidR="00C85559">
        <w:t>“generally a tension between the sentencing principles of specific and general deterrence on the one hand, and the principle of rehabilitation on the other.”</w:t>
      </w:r>
      <w:r w:rsidR="00C85559">
        <w:rPr>
          <w:rStyle w:val="FootnoteReference"/>
        </w:rPr>
        <w:footnoteReference w:id="50"/>
      </w:r>
      <w:r w:rsidR="00EF63F5">
        <w:t xml:space="preserve"> </w:t>
      </w:r>
    </w:p>
    <w:p w14:paraId="5C3A6FAB" w14:textId="77777777" w:rsidR="00B27C05" w:rsidRDefault="00B27C05" w:rsidP="00B27C05">
      <w:pPr>
        <w:pStyle w:val="SALparagraphs"/>
        <w:numPr>
          <w:ilvl w:val="0"/>
          <w:numId w:val="0"/>
        </w:numPr>
        <w:spacing w:line="360" w:lineRule="auto"/>
        <w:ind w:left="720"/>
      </w:pPr>
    </w:p>
    <w:p w14:paraId="0526E55D" w14:textId="5A66E601" w:rsidR="005D6CF7" w:rsidRDefault="000B4371" w:rsidP="00B27C05">
      <w:pPr>
        <w:pStyle w:val="SALparagraphs"/>
        <w:spacing w:line="360" w:lineRule="auto"/>
      </w:pPr>
      <w:r>
        <w:t>Further</w:t>
      </w:r>
      <w:r w:rsidR="00823B3C">
        <w:t>more</w:t>
      </w:r>
      <w:r>
        <w:t>, where the disorder is one which “invariably manifests itself in the doing of the very act which is criminalised,” th</w:t>
      </w:r>
      <w:r w:rsidR="00486EAD">
        <w:t xml:space="preserve">e High Court (“HC”) in </w:t>
      </w:r>
      <w:r w:rsidR="00FD7717">
        <w:rPr>
          <w:i/>
        </w:rPr>
        <w:t>PP v Chong Hou En</w:t>
      </w:r>
      <w:r>
        <w:t xml:space="preserve"> </w:t>
      </w:r>
      <w:r w:rsidR="00486EAD">
        <w:t>held</w:t>
      </w:r>
      <w:r w:rsidRPr="000B4371">
        <w:t xml:space="preserve"> that the nature of the mental disorder would first have to be examined, in terms of how it would affect the individual’s capacity for self-control, and </w:t>
      </w:r>
      <w:r w:rsidR="00486EAD">
        <w:t xml:space="preserve"> </w:t>
      </w:r>
      <w:r w:rsidR="00EA565B">
        <w:t>“whether punishment will be</w:t>
      </w:r>
      <w:r w:rsidRPr="000B4371">
        <w:t xml:space="preserve"> able to </w:t>
      </w:r>
      <w:r w:rsidR="00EA565B">
        <w:t>instil fear and deter him from committing the same criminal acts in future.”</w:t>
      </w:r>
      <w:r w:rsidR="00DE4C85" w:rsidRPr="00DE4C85">
        <w:rPr>
          <w:rStyle w:val="FootnoteReference"/>
        </w:rPr>
        <w:footnoteReference w:id="51"/>
      </w:r>
      <w:r w:rsidR="00EA565B">
        <w:t xml:space="preserve"> The </w:t>
      </w:r>
      <w:r w:rsidR="00486EAD">
        <w:t>HC</w:t>
      </w:r>
      <w:r w:rsidR="00EA565B">
        <w:t xml:space="preserve"> </w:t>
      </w:r>
      <w:r w:rsidR="005B465C">
        <w:t>considered</w:t>
      </w:r>
      <w:r w:rsidR="00EA565B">
        <w:t xml:space="preserve"> that if the nature of the mental disorder was such that the individual significantly retained such capacity for self-control, and if punishment would </w:t>
      </w:r>
      <w:r w:rsidR="00EA565B">
        <w:lastRenderedPageBreak/>
        <w:t xml:space="preserve">be so effective, then there </w:t>
      </w:r>
      <w:r w:rsidR="00F31582">
        <w:t xml:space="preserve">could </w:t>
      </w:r>
      <w:r w:rsidR="00EA565B">
        <w:t>be very little or no mitigating weight ascribed to the presence of the disorder</w:t>
      </w:r>
      <w:r w:rsidR="00486EAD">
        <w:t>.</w:t>
      </w:r>
      <w:r w:rsidR="00EA565B">
        <w:t xml:space="preserve"> </w:t>
      </w:r>
      <w:r w:rsidR="00486EAD">
        <w:t xml:space="preserve">Conversely, if </w:t>
      </w:r>
      <w:r w:rsidR="00EA565B">
        <w:t xml:space="preserve">the disorder significantly impaired the </w:t>
      </w:r>
      <w:r w:rsidR="0023180E">
        <w:t xml:space="preserve">individual’s </w:t>
      </w:r>
      <w:r w:rsidR="00EA565B">
        <w:t xml:space="preserve">capacity for self-control and punishment was unlikely to be so effective, then the principle of deterrence could be given less weight and rehabilitation could take precedence. The court also recognised that </w:t>
      </w:r>
      <w:r w:rsidR="0002464E">
        <w:t>if the offences committed were</w:t>
      </w:r>
      <w:r w:rsidR="00EA565B">
        <w:t xml:space="preserve"> “just too serious in nature,” the principle of rehabilitation could have to give way to the principle of retribution and protection of the public.</w:t>
      </w:r>
      <w:r w:rsidR="00EA565B">
        <w:rPr>
          <w:rStyle w:val="FootnoteReference"/>
        </w:rPr>
        <w:footnoteReference w:id="52"/>
      </w:r>
      <w:r w:rsidR="00FD7717" w:rsidRPr="00DE4C85">
        <w:t xml:space="preserve"> </w:t>
      </w:r>
    </w:p>
    <w:p w14:paraId="38928D9B" w14:textId="77777777" w:rsidR="00B27C05" w:rsidRDefault="00B27C05" w:rsidP="00B27C05">
      <w:pPr>
        <w:pStyle w:val="SALparagraphs"/>
        <w:numPr>
          <w:ilvl w:val="0"/>
          <w:numId w:val="0"/>
        </w:numPr>
        <w:spacing w:line="360" w:lineRule="auto"/>
        <w:ind w:left="720"/>
      </w:pPr>
    </w:p>
    <w:p w14:paraId="28143DF4" w14:textId="7CAC9607" w:rsidR="00486EAD" w:rsidRDefault="001E7377" w:rsidP="00B27C05">
      <w:pPr>
        <w:pStyle w:val="SALparagraphs"/>
        <w:spacing w:line="360" w:lineRule="auto"/>
      </w:pPr>
      <w:r>
        <w:t xml:space="preserve">In </w:t>
      </w:r>
      <w:r w:rsidR="005430EF">
        <w:rPr>
          <w:i/>
        </w:rPr>
        <w:t>PP v Chong Hou En</w:t>
      </w:r>
      <w:r w:rsidRPr="0094732B">
        <w:rPr>
          <w:iCs/>
        </w:rPr>
        <w:t xml:space="preserve">, </w:t>
      </w:r>
      <w:r>
        <w:rPr>
          <w:iCs/>
        </w:rPr>
        <w:t>the</w:t>
      </w:r>
      <w:r w:rsidR="00B87B57">
        <w:t xml:space="preserve"> respondent</w:t>
      </w:r>
      <w:r w:rsidR="005430EF">
        <w:t xml:space="preserve"> </w:t>
      </w:r>
      <w:r w:rsidR="005430EF" w:rsidRPr="005430EF">
        <w:t>affixed a mini-camera to his shoe and used it to film ‘up-skirt’ videos in a mall</w:t>
      </w:r>
      <w:r w:rsidR="00486EAD">
        <w:t>. Despite the expert evidence which suggested that the respondent suffered from a condition of “</w:t>
      </w:r>
      <w:r w:rsidR="00CD6B9E">
        <w:t>voyeurism</w:t>
      </w:r>
      <w:r w:rsidR="00E8162F">
        <w:t>,</w:t>
      </w:r>
      <w:r w:rsidR="00486EAD">
        <w:t xml:space="preserve">” the HC found </w:t>
      </w:r>
      <w:r w:rsidR="00A36B21">
        <w:t xml:space="preserve">that </w:t>
      </w:r>
      <w:r w:rsidR="00486EAD">
        <w:t xml:space="preserve">this </w:t>
      </w:r>
      <w:r w:rsidR="00B770ED">
        <w:t xml:space="preserve">was </w:t>
      </w:r>
      <w:r w:rsidR="00B770ED" w:rsidRPr="00EA565B">
        <w:t>“</w:t>
      </w:r>
      <w:r w:rsidR="00EA565B" w:rsidRPr="00EA565B">
        <w:t>merely a clinical description of…a perverse behavioural option</w:t>
      </w:r>
      <w:r w:rsidR="00486EAD">
        <w:t>.”</w:t>
      </w:r>
      <w:r w:rsidR="00EA565B" w:rsidRPr="00EA565B">
        <w:t xml:space="preserve"> </w:t>
      </w:r>
      <w:r w:rsidR="00486EAD">
        <w:t xml:space="preserve">Thus, the HC concluded the respondent was not </w:t>
      </w:r>
      <w:r w:rsidR="00EA565B" w:rsidRPr="00EA565B">
        <w:t>deprive</w:t>
      </w:r>
      <w:r w:rsidR="00486EAD">
        <w:t>d</w:t>
      </w:r>
      <w:r w:rsidR="00EA565B" w:rsidRPr="00EA565B">
        <w:t xml:space="preserve"> of self-control</w:t>
      </w:r>
      <w:r w:rsidR="00486EAD">
        <w:t>,</w:t>
      </w:r>
      <w:r w:rsidR="00EA565B" w:rsidRPr="00EA565B">
        <w:t xml:space="preserve"> and th</w:t>
      </w:r>
      <w:r w:rsidR="00486EAD">
        <w:t xml:space="preserve">us held that his condition </w:t>
      </w:r>
      <w:r w:rsidR="00EA565B" w:rsidRPr="00EA565B">
        <w:t>should not be given significant weight such as to override sent</w:t>
      </w:r>
      <w:r w:rsidR="00A36B21">
        <w:t>encing principles of deterrence.</w:t>
      </w:r>
      <w:r w:rsidR="00EA565B" w:rsidRPr="00EA565B">
        <w:rPr>
          <w:vertAlign w:val="superscript"/>
        </w:rPr>
        <w:footnoteReference w:id="53"/>
      </w:r>
      <w:r w:rsidR="00A36B21">
        <w:t xml:space="preserve"> </w:t>
      </w:r>
    </w:p>
    <w:p w14:paraId="0404904B" w14:textId="77777777" w:rsidR="00B27C05" w:rsidRDefault="00B27C05" w:rsidP="00B27C05">
      <w:pPr>
        <w:pStyle w:val="SALparagraphs"/>
        <w:numPr>
          <w:ilvl w:val="0"/>
          <w:numId w:val="0"/>
        </w:numPr>
        <w:spacing w:line="360" w:lineRule="auto"/>
      </w:pPr>
    </w:p>
    <w:p w14:paraId="20C955E4" w14:textId="694F3398" w:rsidR="00634E18" w:rsidRDefault="00A36B21" w:rsidP="00B27C05">
      <w:pPr>
        <w:pStyle w:val="SALparagraphs"/>
        <w:spacing w:line="360" w:lineRule="auto"/>
      </w:pPr>
      <w:r>
        <w:t xml:space="preserve">In light of the ubiquity of mobile phones with camera functions and cameras with recording functions coming in “all shapes, sizes and disguises and…getting cheaper to acquire,” as well as the ease of transmitting these recordings, </w:t>
      </w:r>
      <w:r w:rsidR="00634E18">
        <w:t xml:space="preserve">the court found </w:t>
      </w:r>
      <w:r>
        <w:t>general deterrence</w:t>
      </w:r>
      <w:r w:rsidR="00634E18">
        <w:t xml:space="preserve"> </w:t>
      </w:r>
      <w:r>
        <w:t>particularly relevant</w:t>
      </w:r>
      <w:r w:rsidR="00486EAD">
        <w:t>.</w:t>
      </w:r>
      <w:r>
        <w:t xml:space="preserve"> </w:t>
      </w:r>
      <w:r w:rsidR="00486EAD">
        <w:t xml:space="preserve">Specific </w:t>
      </w:r>
      <w:r w:rsidR="00F51657">
        <w:t>deterrence</w:t>
      </w:r>
      <w:r w:rsidR="00486EAD">
        <w:t xml:space="preserve"> was also warranted</w:t>
      </w:r>
      <w:r>
        <w:t xml:space="preserve"> given the court’s finding of the nature of voyeurism</w:t>
      </w:r>
      <w:r w:rsidR="00F46382">
        <w:t>.</w:t>
      </w:r>
      <w:r w:rsidR="00F46382">
        <w:rPr>
          <w:rStyle w:val="FootnoteReference"/>
        </w:rPr>
        <w:footnoteReference w:id="54"/>
      </w:r>
      <w:r w:rsidR="008922AD">
        <w:t xml:space="preserve"> While rehabilitation </w:t>
      </w:r>
      <w:r w:rsidR="00634E18">
        <w:t>was relevant as well</w:t>
      </w:r>
      <w:r w:rsidR="008922AD">
        <w:t xml:space="preserve">, </w:t>
      </w:r>
      <w:r w:rsidR="00A0131F">
        <w:t>there was no suggestion that treatment could not still take place in prison</w:t>
      </w:r>
      <w:r w:rsidR="008922AD">
        <w:t>, although care would have to be taken with the overall sentence such that it was not so “crushing” as to “deter any hope of recovery and reintegration.”</w:t>
      </w:r>
      <w:r w:rsidR="008922AD">
        <w:rPr>
          <w:rStyle w:val="FootnoteReference"/>
        </w:rPr>
        <w:footnoteReference w:id="55"/>
      </w:r>
      <w:r w:rsidR="00634E18">
        <w:t xml:space="preserve"> </w:t>
      </w:r>
    </w:p>
    <w:p w14:paraId="1E7B4894" w14:textId="77777777" w:rsidR="00B27C05" w:rsidRDefault="00B27C05" w:rsidP="00B27C05">
      <w:pPr>
        <w:pStyle w:val="SALparagraphs"/>
        <w:numPr>
          <w:ilvl w:val="0"/>
          <w:numId w:val="0"/>
        </w:numPr>
        <w:spacing w:line="360" w:lineRule="auto"/>
        <w:ind w:left="720"/>
      </w:pPr>
    </w:p>
    <w:p w14:paraId="52AA9833" w14:textId="2B548C52" w:rsidR="00B27C05" w:rsidRPr="001D31DC" w:rsidRDefault="00634E18" w:rsidP="00B27C05">
      <w:pPr>
        <w:pStyle w:val="SALparagraphs"/>
        <w:spacing w:line="360" w:lineRule="auto"/>
      </w:pPr>
      <w:bookmarkStart w:id="10" w:name="_Hlk13264280"/>
      <w:r>
        <w:t xml:space="preserve">Despite </w:t>
      </w:r>
      <w:r w:rsidR="00DF24E0">
        <w:t>these findings,</w:t>
      </w:r>
      <w:r>
        <w:t xml:space="preserve"> </w:t>
      </w:r>
      <w:r w:rsidRPr="00634E18">
        <w:t xml:space="preserve">the courts </w:t>
      </w:r>
      <w:r w:rsidR="005E7A2F">
        <w:t>should</w:t>
      </w:r>
      <w:r w:rsidRPr="00634E18">
        <w:t xml:space="preserve"> bear in mind </w:t>
      </w:r>
      <w:r w:rsidR="00312A76">
        <w:t>comments by the Court of Appeal</w:t>
      </w:r>
      <w:r w:rsidRPr="00634E18">
        <w:t xml:space="preserve"> that “the moral culpability of mentally disordered offenders (lie) on a spectrum,” with the </w:t>
      </w:r>
      <w:bookmarkEnd w:id="10"/>
      <w:r w:rsidRPr="00634E18">
        <w:t>same type of mental disorder afflicting different people in varying degrees.</w:t>
      </w:r>
      <w:r w:rsidRPr="00634E18">
        <w:rPr>
          <w:vertAlign w:val="superscript"/>
        </w:rPr>
        <w:footnoteReference w:id="56"/>
      </w:r>
      <w:r>
        <w:t xml:space="preserve"> </w:t>
      </w:r>
      <w:r w:rsidR="00EE7996">
        <w:t>Moreover, i</w:t>
      </w:r>
      <w:r w:rsidR="00FF4CA3">
        <w:t>t has been obse</w:t>
      </w:r>
      <w:r w:rsidR="006C1D2D">
        <w:t xml:space="preserve">rved elsewhere that “symptoms of impulsivity and compulsivity are usually present (for the voyeuristic disorder), which may take away a </w:t>
      </w:r>
      <w:r w:rsidR="006C1D2D">
        <w:lastRenderedPageBreak/>
        <w:t>sufferer’s full control over his action,” and that with appropriate treatment, most voyeurs would be able to manage their inappropriate behaviour.</w:t>
      </w:r>
      <w:r w:rsidRPr="001D31DC">
        <w:rPr>
          <w:rStyle w:val="FootnoteReference"/>
        </w:rPr>
        <w:footnoteReference w:id="57"/>
      </w:r>
      <w:r w:rsidRPr="001D31DC">
        <w:t xml:space="preserve"> </w:t>
      </w:r>
      <w:r w:rsidR="006C1D2D" w:rsidRPr="006C1D2D">
        <w:t>The appropriate sentencing principles should be balanced for each case, with true voyeuristic sufferers granted a sentence conducive to their treatment and rehabilitation</w:t>
      </w:r>
      <w:r w:rsidR="006C1D2D">
        <w:t>.</w:t>
      </w:r>
    </w:p>
    <w:p w14:paraId="197F4781" w14:textId="4AE99289" w:rsidR="00212DC3" w:rsidRDefault="00212DC3" w:rsidP="00B27C05">
      <w:pPr>
        <w:pStyle w:val="Heading1"/>
        <w:spacing w:line="360" w:lineRule="auto"/>
      </w:pPr>
      <w:r w:rsidRPr="00B374D8">
        <w:t>Conclusion</w:t>
      </w:r>
      <w:r>
        <w:t xml:space="preserve"> </w:t>
      </w:r>
    </w:p>
    <w:p w14:paraId="7DA75FFE" w14:textId="54B35AD0" w:rsidR="003B6C45" w:rsidRDefault="00BA4E5F" w:rsidP="00B27C05">
      <w:pPr>
        <w:pStyle w:val="SALparagraphs"/>
        <w:spacing w:line="360" w:lineRule="auto"/>
      </w:pPr>
      <w:r>
        <w:t xml:space="preserve">The </w:t>
      </w:r>
      <w:r w:rsidR="00C725A7">
        <w:t xml:space="preserve">new offence of voyeurism </w:t>
      </w:r>
      <w:r>
        <w:t xml:space="preserve">directly targets an increasingly prevalent offence. As drafted, it </w:t>
      </w:r>
      <w:r w:rsidR="00C725A7">
        <w:t xml:space="preserve">is relatively in line with equivalent provisions in other jurisdictions. This paper </w:t>
      </w:r>
      <w:r w:rsidR="0066657D">
        <w:t xml:space="preserve">has sought to articulate how the offence may be conceived as an </w:t>
      </w:r>
      <w:r w:rsidR="00992D7F">
        <w:t>infringement</w:t>
      </w:r>
      <w:r w:rsidR="0066657D">
        <w:t xml:space="preserve"> on privacy interests and a sexual offence. Additionally, it </w:t>
      </w:r>
      <w:r w:rsidR="00C725A7">
        <w:t xml:space="preserve">has </w:t>
      </w:r>
      <w:r w:rsidR="0066657D">
        <w:t xml:space="preserve">outlined the elements of the offence, and </w:t>
      </w:r>
      <w:r w:rsidR="00C725A7">
        <w:t xml:space="preserve">suggested </w:t>
      </w:r>
      <w:r w:rsidR="00B71D4E">
        <w:t xml:space="preserve">an approach to interpreting </w:t>
      </w:r>
      <w:r w:rsidR="0066657D">
        <w:t>its</w:t>
      </w:r>
      <w:r w:rsidR="00B71D4E">
        <w:t xml:space="preserve"> requirement for </w:t>
      </w:r>
      <w:r w:rsidR="0066657D">
        <w:t>circumstances in which the alleged victim has a reasonable expectation of privacy.</w:t>
      </w:r>
      <w:r w:rsidR="004A3013">
        <w:rPr>
          <w:rStyle w:val="FootnoteReference"/>
        </w:rPr>
        <w:footnoteReference w:id="58"/>
      </w:r>
      <w:r>
        <w:t xml:space="preserve"> </w:t>
      </w:r>
      <w:r w:rsidR="0066657D">
        <w:t xml:space="preserve">Lastly, it has emphasised that </w:t>
      </w:r>
      <w:r w:rsidR="00024915">
        <w:t xml:space="preserve">despite the High Court’s finding that voyeurism </w:t>
      </w:r>
      <w:r w:rsidR="00544E8F">
        <w:t xml:space="preserve">does not deprive a person of his self-control </w:t>
      </w:r>
      <w:r w:rsidR="00452FAA">
        <w:t xml:space="preserve">to the same extent as an </w:t>
      </w:r>
      <w:r w:rsidR="00544E8F">
        <w:t>impulse control disorder</w:t>
      </w:r>
      <w:r w:rsidR="00544E8F">
        <w:rPr>
          <w:rStyle w:val="FootnoteReference"/>
        </w:rPr>
        <w:footnoteReference w:id="59"/>
      </w:r>
      <w:r w:rsidR="00E75EBE">
        <w:t xml:space="preserve"> (and would therefore have less significant mitigating value)</w:t>
      </w:r>
      <w:r w:rsidR="00452FAA">
        <w:t>,</w:t>
      </w:r>
      <w:r w:rsidR="00E75EBE">
        <w:rPr>
          <w:rStyle w:val="FootnoteReference"/>
        </w:rPr>
        <w:footnoteReference w:id="60"/>
      </w:r>
      <w:r w:rsidR="00452FAA">
        <w:t xml:space="preserve"> the impact of a </w:t>
      </w:r>
      <w:r w:rsidR="00DE18AA">
        <w:t xml:space="preserve">potential </w:t>
      </w:r>
      <w:r w:rsidR="00452FAA">
        <w:t xml:space="preserve">mental disorder on individual offenders remain highly fact-specific, and should be considered accordingly. </w:t>
      </w:r>
    </w:p>
    <w:p w14:paraId="7FAFAF15" w14:textId="66C5C82E" w:rsidR="002E36A1" w:rsidRDefault="002E36A1" w:rsidP="002E36A1">
      <w:pPr>
        <w:pStyle w:val="SALparagraphs"/>
        <w:numPr>
          <w:ilvl w:val="0"/>
          <w:numId w:val="0"/>
        </w:numPr>
        <w:spacing w:line="360" w:lineRule="auto"/>
        <w:ind w:left="720" w:hanging="720"/>
      </w:pPr>
    </w:p>
    <w:p w14:paraId="4C9D8040" w14:textId="514DF489" w:rsidR="002E36A1" w:rsidRDefault="002E36A1" w:rsidP="002E36A1">
      <w:pPr>
        <w:pStyle w:val="SALparagraphs"/>
        <w:numPr>
          <w:ilvl w:val="0"/>
          <w:numId w:val="0"/>
        </w:numPr>
        <w:spacing w:line="360" w:lineRule="auto"/>
        <w:ind w:left="720" w:hanging="720"/>
      </w:pPr>
    </w:p>
    <w:p w14:paraId="36AB0B14" w14:textId="77777777" w:rsidR="002E36A1" w:rsidRPr="00492359" w:rsidRDefault="002E36A1" w:rsidP="002E36A1">
      <w:pPr>
        <w:pStyle w:val="SALparagraphs"/>
        <w:numPr>
          <w:ilvl w:val="0"/>
          <w:numId w:val="0"/>
        </w:numPr>
        <w:pBdr>
          <w:bottom w:val="single" w:sz="4" w:space="1" w:color="auto"/>
        </w:pBdr>
        <w:spacing w:line="360" w:lineRule="auto"/>
        <w:ind w:left="720" w:hanging="720"/>
      </w:pPr>
    </w:p>
    <w:p w14:paraId="66227FAA" w14:textId="77777777" w:rsidR="002E36A1" w:rsidRDefault="002E36A1" w:rsidP="002E36A1">
      <w:pPr>
        <w:ind w:left="714" w:right="714"/>
        <w:jc w:val="both"/>
        <w:rPr>
          <w:iCs/>
          <w:szCs w:val="22"/>
          <w:lang w:val="en-GB"/>
        </w:rPr>
      </w:pPr>
      <w:r>
        <w:rPr>
          <w:iCs/>
          <w:lang w:val="en-GB"/>
        </w:rPr>
        <w:t>This article does not constitute legal advice or opinion. SMU Lexicon and its members do not accept or assume responsibility, and will not be liable, to any person in respect of this article.</w:t>
      </w:r>
    </w:p>
    <w:p w14:paraId="293F9F87" w14:textId="77777777" w:rsidR="00130376" w:rsidRPr="001D31DC" w:rsidRDefault="00130376" w:rsidP="00B27C05">
      <w:pPr>
        <w:spacing w:after="160" w:line="360" w:lineRule="auto"/>
        <w:contextualSpacing/>
        <w:jc w:val="both"/>
      </w:pPr>
      <w:bookmarkStart w:id="11" w:name="_GoBack"/>
      <w:bookmarkEnd w:id="11"/>
    </w:p>
    <w:sectPr w:rsidR="00130376" w:rsidRPr="001D31DC" w:rsidSect="006F43E3">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1DE1" w14:textId="77777777" w:rsidR="00F6116F" w:rsidRDefault="00F6116F" w:rsidP="00AB4788">
      <w:r>
        <w:separator/>
      </w:r>
    </w:p>
  </w:endnote>
  <w:endnote w:type="continuationSeparator" w:id="0">
    <w:p w14:paraId="079EA000" w14:textId="77777777" w:rsidR="00F6116F" w:rsidRDefault="00F6116F" w:rsidP="00AB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FFA0" w14:textId="6A90ECDE" w:rsidR="00027F3B" w:rsidRDefault="00027F3B" w:rsidP="006F43E3">
    <w:pPr>
      <w:pStyle w:val="Footer"/>
      <w:jc w:val="center"/>
    </w:pPr>
  </w:p>
  <w:p w14:paraId="10016090" w14:textId="77777777" w:rsidR="00027F3B" w:rsidRDefault="00027F3B" w:rsidP="006F4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4406" w14:textId="77777777" w:rsidR="00027F3B" w:rsidRDefault="00027F3B" w:rsidP="006F43E3">
    <w:pPr>
      <w:pStyle w:val="Footer"/>
      <w:ind w:left="10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614E" w14:textId="77777777" w:rsidR="00F6116F" w:rsidRDefault="00F6116F" w:rsidP="00AB4788">
      <w:r>
        <w:separator/>
      </w:r>
    </w:p>
  </w:footnote>
  <w:footnote w:type="continuationSeparator" w:id="0">
    <w:p w14:paraId="325C2DCB" w14:textId="77777777" w:rsidR="00F6116F" w:rsidRDefault="00F6116F" w:rsidP="00AB4788">
      <w:r>
        <w:continuationSeparator/>
      </w:r>
    </w:p>
  </w:footnote>
  <w:footnote w:id="1">
    <w:p w14:paraId="138D2402" w14:textId="49139F18" w:rsidR="0074515F" w:rsidRDefault="00B374D8" w:rsidP="00976223">
      <w:pPr>
        <w:pStyle w:val="NoSpacing"/>
        <w:ind w:left="426" w:hanging="426"/>
        <w:jc w:val="both"/>
        <w:rPr>
          <w:sz w:val="20"/>
          <w:szCs w:val="20"/>
        </w:rPr>
      </w:pPr>
      <w:r w:rsidRPr="00B95525">
        <w:rPr>
          <w:rStyle w:val="FootnoteReference"/>
          <w:sz w:val="18"/>
          <w:szCs w:val="18"/>
        </w:rPr>
        <w:t>*</w:t>
      </w:r>
      <w:r w:rsidRPr="00B95525">
        <w:rPr>
          <w:sz w:val="18"/>
          <w:szCs w:val="18"/>
        </w:rPr>
        <w:t xml:space="preserve"> </w:t>
      </w:r>
      <w:r w:rsidR="0074515F">
        <w:rPr>
          <w:sz w:val="18"/>
          <w:szCs w:val="18"/>
        </w:rPr>
        <w:t xml:space="preserve"> </w:t>
      </w:r>
      <w:r w:rsidR="0074515F">
        <w:rPr>
          <w:sz w:val="18"/>
          <w:szCs w:val="18"/>
        </w:rPr>
        <w:tab/>
      </w:r>
      <w:r w:rsidR="0074515F">
        <w:rPr>
          <w:sz w:val="18"/>
          <w:szCs w:val="18"/>
        </w:rPr>
        <w:tab/>
      </w:r>
      <w:r>
        <w:rPr>
          <w:sz w:val="20"/>
          <w:szCs w:val="20"/>
        </w:rPr>
        <w:t>Wr</w:t>
      </w:r>
      <w:r w:rsidR="0074515F">
        <w:rPr>
          <w:sz w:val="20"/>
          <w:szCs w:val="20"/>
        </w:rPr>
        <w:t>i</w:t>
      </w:r>
      <w:r>
        <w:rPr>
          <w:sz w:val="20"/>
          <w:szCs w:val="20"/>
        </w:rPr>
        <w:t xml:space="preserve">tten by Rennie Whang </w:t>
      </w:r>
      <w:proofErr w:type="spellStart"/>
      <w:r>
        <w:rPr>
          <w:sz w:val="20"/>
          <w:szCs w:val="20"/>
        </w:rPr>
        <w:t>Yixuan</w:t>
      </w:r>
      <w:proofErr w:type="spellEnd"/>
      <w:r>
        <w:rPr>
          <w:sz w:val="20"/>
          <w:szCs w:val="20"/>
        </w:rPr>
        <w:t>, 3</w:t>
      </w:r>
      <w:r w:rsidRPr="00B374D8">
        <w:rPr>
          <w:sz w:val="20"/>
          <w:szCs w:val="20"/>
          <w:vertAlign w:val="superscript"/>
        </w:rPr>
        <w:t>rd</w:t>
      </w:r>
      <w:r>
        <w:rPr>
          <w:sz w:val="20"/>
          <w:szCs w:val="20"/>
        </w:rPr>
        <w:t xml:space="preserve"> Year J.D. student, Singapore Management University, School of </w:t>
      </w:r>
    </w:p>
    <w:p w14:paraId="603F375C" w14:textId="5CBB2BD3" w:rsidR="00B374D8" w:rsidRPr="00C1706E" w:rsidRDefault="00B374D8" w:rsidP="0074515F">
      <w:pPr>
        <w:pStyle w:val="NoSpacing"/>
        <w:ind w:left="720"/>
        <w:jc w:val="both"/>
        <w:rPr>
          <w:sz w:val="20"/>
          <w:szCs w:val="20"/>
        </w:rPr>
      </w:pPr>
      <w:r>
        <w:rPr>
          <w:sz w:val="20"/>
          <w:szCs w:val="20"/>
        </w:rPr>
        <w:t xml:space="preserve">Law. Edited by </w:t>
      </w:r>
      <w:r w:rsidR="00976223">
        <w:rPr>
          <w:sz w:val="20"/>
          <w:szCs w:val="20"/>
        </w:rPr>
        <w:t>Pesdy Tay Jia Yi, 4</w:t>
      </w:r>
      <w:r w:rsidR="00976223" w:rsidRPr="00976223">
        <w:rPr>
          <w:sz w:val="20"/>
          <w:szCs w:val="20"/>
          <w:vertAlign w:val="superscript"/>
        </w:rPr>
        <w:t>th</w:t>
      </w:r>
      <w:r w:rsidR="00976223">
        <w:rPr>
          <w:sz w:val="20"/>
          <w:szCs w:val="20"/>
        </w:rPr>
        <w:t xml:space="preserve"> Year LL.B. undergraduate, and Joel Tay Wei Jie 4</w:t>
      </w:r>
      <w:r w:rsidR="00976223" w:rsidRPr="00976223">
        <w:rPr>
          <w:sz w:val="20"/>
          <w:szCs w:val="20"/>
          <w:vertAlign w:val="superscript"/>
        </w:rPr>
        <w:t>th</w:t>
      </w:r>
      <w:r w:rsidR="00976223">
        <w:rPr>
          <w:sz w:val="20"/>
          <w:szCs w:val="20"/>
        </w:rPr>
        <w:t xml:space="preserve"> Year LL.B. undergraduate. </w:t>
      </w:r>
    </w:p>
  </w:footnote>
  <w:footnote w:id="2">
    <w:p w14:paraId="3A0F6BCE" w14:textId="10CB3B68" w:rsidR="00E1374D" w:rsidRDefault="00027F3B" w:rsidP="00976223">
      <w:pPr>
        <w:pStyle w:val="FootnoteText"/>
        <w:rPr>
          <w:i/>
        </w:rPr>
      </w:pPr>
      <w:r>
        <w:rPr>
          <w:rStyle w:val="FootnoteReference"/>
        </w:rPr>
        <w:footnoteRef/>
      </w:r>
      <w:r>
        <w:t xml:space="preserve"> </w:t>
      </w:r>
      <w:r w:rsidR="00E1374D">
        <w:t xml:space="preserve"> </w:t>
      </w:r>
      <w:r w:rsidR="0074515F">
        <w:tab/>
      </w:r>
      <w:r>
        <w:t xml:space="preserve">See, </w:t>
      </w:r>
      <w:proofErr w:type="spellStart"/>
      <w:r>
        <w:rPr>
          <w:i/>
        </w:rPr>
        <w:t>eg</w:t>
      </w:r>
      <w:proofErr w:type="spellEnd"/>
      <w:r>
        <w:t xml:space="preserve">, </w:t>
      </w:r>
      <w:proofErr w:type="spellStart"/>
      <w:r w:rsidRPr="00E63302">
        <w:t>Shaffiq</w:t>
      </w:r>
      <w:proofErr w:type="spellEnd"/>
      <w:r>
        <w:t xml:space="preserve"> </w:t>
      </w:r>
      <w:proofErr w:type="spellStart"/>
      <w:r>
        <w:t>Alkhatib</w:t>
      </w:r>
      <w:proofErr w:type="spellEnd"/>
      <w:r>
        <w:t xml:space="preserve">, “NUS student charged over latest voyeurism incident on campus” </w:t>
      </w:r>
      <w:r>
        <w:rPr>
          <w:i/>
        </w:rPr>
        <w:t>The Straits</w:t>
      </w:r>
    </w:p>
    <w:p w14:paraId="07CB2678" w14:textId="241AFAAC" w:rsidR="00027F3B" w:rsidRPr="00200B4D" w:rsidRDefault="00027F3B" w:rsidP="00E1374D">
      <w:pPr>
        <w:pStyle w:val="FootnoteText"/>
        <w:ind w:left="720"/>
      </w:pPr>
      <w:r>
        <w:rPr>
          <w:i/>
        </w:rPr>
        <w:t xml:space="preserve">Times </w:t>
      </w:r>
      <w:r>
        <w:t>(14 May 2019) &lt;</w:t>
      </w:r>
      <w:r w:rsidRPr="007B0E1A">
        <w:t xml:space="preserve"> </w:t>
      </w:r>
      <w:hyperlink r:id="rId1" w:history="1">
        <w:r w:rsidRPr="00747922">
          <w:rPr>
            <w:rStyle w:val="Hyperlink"/>
          </w:rPr>
          <w:t>https://www.straitstimes.com/singapore/courts-crime/nus-student-charged-over-latest-voyeurism-incident-on-campus</w:t>
        </w:r>
      </w:hyperlink>
      <w:r>
        <w:t xml:space="preserve">&gt; (Accessed 5 July 2019); Samuel </w:t>
      </w:r>
      <w:proofErr w:type="spellStart"/>
      <w:r>
        <w:t>Sashant</w:t>
      </w:r>
      <w:proofErr w:type="spellEnd"/>
      <w:r>
        <w:t xml:space="preserve"> Devaraj, “Third Peeping Tom incident at NTU in three weeks” </w:t>
      </w:r>
      <w:r>
        <w:rPr>
          <w:i/>
        </w:rPr>
        <w:t xml:space="preserve">The New Paper </w:t>
      </w:r>
      <w:r>
        <w:t>(6 May 2019) &lt;</w:t>
      </w:r>
      <w:hyperlink r:id="rId2" w:history="1">
        <w:r w:rsidRPr="007843D1">
          <w:rPr>
            <w:rStyle w:val="Hyperlink"/>
          </w:rPr>
          <w:t>https://www.straitstimes.com/singapore/courts-crime/third-peeping-tom-incident-at-ntu-in-three-weeks</w:t>
        </w:r>
      </w:hyperlink>
      <w:r>
        <w:t xml:space="preserve">&gt; (Accessed 5 July 2019); </w:t>
      </w:r>
      <w:proofErr w:type="spellStart"/>
      <w:r>
        <w:t>Shaffiq</w:t>
      </w:r>
      <w:proofErr w:type="spellEnd"/>
      <w:r>
        <w:t xml:space="preserve"> </w:t>
      </w:r>
      <w:proofErr w:type="spellStart"/>
      <w:r>
        <w:t>Alkhatib</w:t>
      </w:r>
      <w:proofErr w:type="spellEnd"/>
      <w:r>
        <w:t xml:space="preserve">, “NTU student expelled for allegedly recording video of woman showering” </w:t>
      </w:r>
      <w:r>
        <w:rPr>
          <w:i/>
        </w:rPr>
        <w:t xml:space="preserve">The Straits Times </w:t>
      </w:r>
      <w:r>
        <w:t>(6 December 2019) &lt;</w:t>
      </w:r>
      <w:hyperlink r:id="rId3" w:history="1">
        <w:r w:rsidRPr="003C59BA">
          <w:rPr>
            <w:rStyle w:val="Hyperlink"/>
          </w:rPr>
          <w:t>https://www.straitstimes.com/singapore/courts-crime/ntu-student-expelled-for-allegedly-recording-video-of-woman-showering</w:t>
        </w:r>
      </w:hyperlink>
      <w:r>
        <w:t>&gt; (Accessed 9 December 2019).</w:t>
      </w:r>
    </w:p>
  </w:footnote>
  <w:footnote w:id="3">
    <w:p w14:paraId="50721231" w14:textId="77777777" w:rsidR="00E1374D" w:rsidRDefault="00027F3B" w:rsidP="00E1374D">
      <w:pPr>
        <w:pStyle w:val="FootnoteText"/>
      </w:pPr>
      <w:r>
        <w:rPr>
          <w:rStyle w:val="FootnoteReference"/>
        </w:rPr>
        <w:footnoteRef/>
      </w:r>
      <w:r>
        <w:t xml:space="preserve"> </w:t>
      </w:r>
      <w:r w:rsidR="00E1374D">
        <w:tab/>
      </w:r>
      <w:r>
        <w:t xml:space="preserve">See, </w:t>
      </w:r>
      <w:proofErr w:type="spellStart"/>
      <w:r w:rsidRPr="00E63302">
        <w:rPr>
          <w:i/>
        </w:rPr>
        <w:t>eg</w:t>
      </w:r>
      <w:proofErr w:type="spellEnd"/>
      <w:r>
        <w:t xml:space="preserve">, </w:t>
      </w:r>
      <w:proofErr w:type="spellStart"/>
      <w:r w:rsidRPr="00E63302">
        <w:t>Shaffiq</w:t>
      </w:r>
      <w:proofErr w:type="spellEnd"/>
      <w:r>
        <w:t xml:space="preserve"> </w:t>
      </w:r>
      <w:proofErr w:type="spellStart"/>
      <w:r>
        <w:t>Alkhatib</w:t>
      </w:r>
      <w:proofErr w:type="spellEnd"/>
      <w:r>
        <w:t>, “2 teens among 4 charged with transmitting obscene materials in SG Nasi</w:t>
      </w:r>
      <w:r w:rsidR="00E1374D">
        <w:t xml:space="preserve"> </w:t>
      </w:r>
    </w:p>
    <w:p w14:paraId="7E192539" w14:textId="1CD27227" w:rsidR="00027F3B" w:rsidRPr="007843D1" w:rsidRDefault="00027F3B" w:rsidP="00E1374D">
      <w:pPr>
        <w:pStyle w:val="FootnoteText"/>
        <w:ind w:left="720"/>
      </w:pPr>
      <w:r>
        <w:t>Lemak</w:t>
      </w:r>
      <w:r w:rsidR="00E1374D">
        <w:t xml:space="preserve"> </w:t>
      </w:r>
      <w:r>
        <w:t xml:space="preserve">Telegram group chat” </w:t>
      </w:r>
      <w:r>
        <w:rPr>
          <w:i/>
        </w:rPr>
        <w:t xml:space="preserve">The Straits Times </w:t>
      </w:r>
      <w:r>
        <w:t>(15 October 2019) &lt;</w:t>
      </w:r>
      <w:hyperlink r:id="rId4" w:history="1">
        <w:r w:rsidRPr="007843D1">
          <w:rPr>
            <w:rStyle w:val="Hyperlink"/>
          </w:rPr>
          <w:t>https://www.straitstimes.com/singapore/courts-crime/2-teens-among-4-charged-with-circulating-obscene-materials-in-sg-nasi-lemak</w:t>
        </w:r>
      </w:hyperlink>
      <w:r>
        <w:t>&gt;; Prisca Ang, “Police looking into another Telegram chat group allegedly circulating obscene materials” (20 October 2019) &lt;</w:t>
      </w:r>
      <w:hyperlink r:id="rId5" w:history="1">
        <w:r w:rsidRPr="007843D1">
          <w:rPr>
            <w:rStyle w:val="Hyperlink"/>
          </w:rPr>
          <w:t>https://www.straitstimes.com/singapore/police-looking-into-another-telegram-chat-group-allegedly-circulating-obscene-materials</w:t>
        </w:r>
      </w:hyperlink>
      <w:r>
        <w:t xml:space="preserve">&gt;; Ilyas </w:t>
      </w:r>
      <w:proofErr w:type="spellStart"/>
      <w:r>
        <w:t>Sholihyn</w:t>
      </w:r>
      <w:proofErr w:type="spellEnd"/>
      <w:r>
        <w:t xml:space="preserve">, “Hailed as a ‘hero’, SG Nasi </w:t>
      </w:r>
      <w:proofErr w:type="spellStart"/>
      <w:r>
        <w:t>Lemak’s</w:t>
      </w:r>
      <w:proofErr w:type="spellEnd"/>
      <w:r>
        <w:t xml:space="preserve"> Leonard Teo was also involved in </w:t>
      </w:r>
      <w:proofErr w:type="spellStart"/>
      <w:r>
        <w:t>SharingIsCaring</w:t>
      </w:r>
      <w:proofErr w:type="spellEnd"/>
      <w:r>
        <w:t xml:space="preserve">” </w:t>
      </w:r>
      <w:proofErr w:type="spellStart"/>
      <w:r>
        <w:rPr>
          <w:i/>
        </w:rPr>
        <w:t>AsiaOne</w:t>
      </w:r>
      <w:proofErr w:type="spellEnd"/>
      <w:r>
        <w:rPr>
          <w:i/>
        </w:rPr>
        <w:t xml:space="preserve"> </w:t>
      </w:r>
      <w:r>
        <w:t>(23 October 2019) &lt;</w:t>
      </w:r>
      <w:hyperlink r:id="rId6" w:history="1">
        <w:r w:rsidRPr="00C17774">
          <w:rPr>
            <w:rStyle w:val="Hyperlink"/>
          </w:rPr>
          <w:t>https://www.asiaone.com/digital/hailed-hero-sg-nasi-lemak-leonard-teo-was-involved-sharingiscaring</w:t>
        </w:r>
      </w:hyperlink>
      <w:r>
        <w:t xml:space="preserve">&gt;; </w:t>
      </w:r>
      <w:proofErr w:type="spellStart"/>
      <w:r w:rsidRPr="007843D1">
        <w:t>Shaffiq</w:t>
      </w:r>
      <w:proofErr w:type="spellEnd"/>
      <w:r w:rsidRPr="007843D1">
        <w:t xml:space="preserve"> </w:t>
      </w:r>
      <w:proofErr w:type="spellStart"/>
      <w:r w:rsidRPr="007843D1">
        <w:t>Alkhatib</w:t>
      </w:r>
      <w:proofErr w:type="spellEnd"/>
      <w:r w:rsidRPr="007843D1">
        <w:t xml:space="preserve">, “SG Nasi Lemak case: Man faces 5 more charges involving pornography” </w:t>
      </w:r>
      <w:r w:rsidRPr="007843D1">
        <w:rPr>
          <w:i/>
        </w:rPr>
        <w:t xml:space="preserve">The Straits Times </w:t>
      </w:r>
      <w:r w:rsidRPr="007843D1">
        <w:t>(29 October 2019) &lt;</w:t>
      </w:r>
      <w:hyperlink r:id="rId7" w:history="1">
        <w:r w:rsidRPr="007843D1">
          <w:rPr>
            <w:rStyle w:val="Hyperlink"/>
          </w:rPr>
          <w:t>https://www.straitstimes.com/singapore/courts-crime/sg-nasi-lemak-case-man-faces-5-more-charges-involving-pornography</w:t>
        </w:r>
      </w:hyperlink>
      <w:r w:rsidRPr="007843D1">
        <w:t>&gt;</w:t>
      </w:r>
      <w:r>
        <w:t xml:space="preserve"> (All accessed 9 December 2019).   </w:t>
      </w:r>
    </w:p>
  </w:footnote>
  <w:footnote w:id="4">
    <w:p w14:paraId="03B3C4FF" w14:textId="77777777" w:rsidR="00E1374D" w:rsidRDefault="00027F3B" w:rsidP="00976223">
      <w:pPr>
        <w:pStyle w:val="FootnoteText"/>
      </w:pPr>
      <w:r>
        <w:rPr>
          <w:rStyle w:val="FootnoteReference"/>
        </w:rPr>
        <w:footnoteRef/>
      </w:r>
      <w:r>
        <w:t xml:space="preserve"> </w:t>
      </w:r>
      <w:r w:rsidR="00E1374D">
        <w:tab/>
      </w:r>
      <w:r>
        <w:t>The number of voyeurism cases involving hidden cameras rose from about 150 in 2013 to about 230 in</w:t>
      </w:r>
    </w:p>
    <w:p w14:paraId="29399196" w14:textId="0BE24D15" w:rsidR="00027F3B" w:rsidRDefault="00027F3B" w:rsidP="00E1374D">
      <w:pPr>
        <w:pStyle w:val="FootnoteText"/>
        <w:ind w:left="720"/>
      </w:pPr>
      <w:r>
        <w:t xml:space="preserve">2017, with approximately a quarter of these prosecuted in court: </w:t>
      </w:r>
      <w:r w:rsidRPr="0028208A">
        <w:rPr>
          <w:i/>
        </w:rPr>
        <w:t xml:space="preserve">Singapore Parliamentary Debates, Official Report </w:t>
      </w:r>
      <w:r w:rsidRPr="0028208A">
        <w:t>(1 October 2018) vol 94 (Written Answers to Questions for Oral Answer Not Answered by 3.00pm) (K Shanmugam, Minister for Home Affairs and Law).</w:t>
      </w:r>
    </w:p>
  </w:footnote>
  <w:footnote w:id="5">
    <w:p w14:paraId="77E37E40" w14:textId="22991E1D" w:rsidR="00F650A7" w:rsidRDefault="00F650A7" w:rsidP="00976223">
      <w:pPr>
        <w:pStyle w:val="FootnoteText"/>
      </w:pPr>
      <w:r>
        <w:rPr>
          <w:rStyle w:val="FootnoteReference"/>
        </w:rPr>
        <w:footnoteRef/>
      </w:r>
      <w:r>
        <w:t xml:space="preserve"> </w:t>
      </w:r>
      <w:r w:rsidR="00E1374D">
        <w:tab/>
      </w:r>
      <w:r>
        <w:t>Act 15 of 2019.</w:t>
      </w:r>
    </w:p>
  </w:footnote>
  <w:footnote w:id="6">
    <w:p w14:paraId="04938F61" w14:textId="77777777" w:rsidR="00E1374D" w:rsidRDefault="00027F3B" w:rsidP="00976223">
      <w:pPr>
        <w:pStyle w:val="FootnoteText"/>
      </w:pPr>
      <w:r>
        <w:rPr>
          <w:rStyle w:val="FootnoteReference"/>
        </w:rPr>
        <w:footnoteRef/>
      </w:r>
      <w:r>
        <w:t xml:space="preserve"> </w:t>
      </w:r>
      <w:r w:rsidR="00E1374D">
        <w:tab/>
      </w:r>
      <w:r>
        <w:t>(Cap 224, 2008 Rev Ed).</w:t>
      </w:r>
      <w:r w:rsidR="00D90C2D" w:rsidRPr="00D90C2D">
        <w:rPr>
          <w:sz w:val="24"/>
          <w:szCs w:val="24"/>
        </w:rPr>
        <w:t xml:space="preserve"> </w:t>
      </w:r>
      <w:r w:rsidR="00D90C2D" w:rsidRPr="00D90C2D">
        <w:t xml:space="preserve">Almost all the provisions will come into force </w:t>
      </w:r>
      <w:r w:rsidR="00BE2CDB">
        <w:t>from 1 January 2020: Criminal</w:t>
      </w:r>
    </w:p>
    <w:p w14:paraId="5F8321A9" w14:textId="50987A2A" w:rsidR="00027F3B" w:rsidRDefault="00BE2CDB" w:rsidP="00E1374D">
      <w:pPr>
        <w:pStyle w:val="FootnoteText"/>
        <w:ind w:firstLine="720"/>
      </w:pPr>
      <w:r>
        <w:t>Law Reform Act 2019 (Commencement) Notification 2019</w:t>
      </w:r>
      <w:r w:rsidR="00D90C2D" w:rsidRPr="00D90C2D">
        <w:t xml:space="preserve">.  </w:t>
      </w:r>
    </w:p>
  </w:footnote>
  <w:footnote w:id="7">
    <w:p w14:paraId="09E774EA" w14:textId="6A99CB60" w:rsidR="00027F3B" w:rsidRPr="00DF4F9B" w:rsidRDefault="00027F3B" w:rsidP="00976223">
      <w:pPr>
        <w:pStyle w:val="FootnoteText"/>
        <w:jc w:val="both"/>
      </w:pPr>
      <w:r w:rsidRPr="00634E18">
        <w:rPr>
          <w:rStyle w:val="FootnoteReference"/>
        </w:rPr>
        <w:footnoteRef/>
      </w:r>
      <w:r w:rsidRPr="00634E18">
        <w:t xml:space="preserve"> </w:t>
      </w:r>
      <w:r w:rsidR="00E1374D">
        <w:tab/>
      </w:r>
      <w:r w:rsidR="00FF5E9B">
        <w:t>Penal Code, s</w:t>
      </w:r>
      <w:r w:rsidR="00F62C20">
        <w:t> </w:t>
      </w:r>
      <w:r w:rsidR="00FF5E9B">
        <w:t>377BB(1).</w:t>
      </w:r>
    </w:p>
  </w:footnote>
  <w:footnote w:id="8">
    <w:p w14:paraId="11DD9821" w14:textId="291C186A" w:rsidR="00027F3B" w:rsidRDefault="00027F3B" w:rsidP="00976223">
      <w:pPr>
        <w:pStyle w:val="FootnoteText"/>
      </w:pPr>
      <w:r>
        <w:rPr>
          <w:rStyle w:val="FootnoteReference"/>
        </w:rPr>
        <w:footnoteRef/>
      </w:r>
      <w:r>
        <w:t xml:space="preserve"> </w:t>
      </w:r>
      <w:r w:rsidR="00E1374D">
        <w:tab/>
      </w:r>
      <w:r w:rsidR="009D316D">
        <w:t>Penal Code, ss</w:t>
      </w:r>
      <w:r w:rsidR="00F62C20">
        <w:t> </w:t>
      </w:r>
      <w:r w:rsidR="009D316D">
        <w:t>337BC, 377BD</w:t>
      </w:r>
      <w:r w:rsidR="008978E4">
        <w:t xml:space="preserve"> and </w:t>
      </w:r>
      <w:r w:rsidR="009D316D">
        <w:t>377BE</w:t>
      </w:r>
      <w:r w:rsidR="008978E4">
        <w:t xml:space="preserve">. </w:t>
      </w:r>
    </w:p>
  </w:footnote>
  <w:footnote w:id="9">
    <w:p w14:paraId="013E2BBC"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Department of Justice, Canada, “Voyeurism as a Criminal Offence: A Consultation Paper” (2002)</w:t>
      </w:r>
    </w:p>
    <w:p w14:paraId="25CE508A" w14:textId="52C240D6" w:rsidR="00027F3B" w:rsidRPr="00B25272" w:rsidRDefault="00027F3B" w:rsidP="00E1374D">
      <w:pPr>
        <w:pStyle w:val="FootnoteText"/>
        <w:ind w:left="720"/>
        <w:jc w:val="both"/>
        <w:rPr>
          <w:sz w:val="22"/>
          <w:szCs w:val="22"/>
        </w:rPr>
      </w:pPr>
      <w:r w:rsidRPr="00634E18">
        <w:t xml:space="preserve">&lt;http://publications.gc.ca/collections/collection_2007/jus/J2-337-2002E.pdf&gt; </w:t>
      </w:r>
      <w:r>
        <w:t xml:space="preserve">(Accessed on 5 July 2019) </w:t>
      </w:r>
      <w:r w:rsidRPr="00634E18">
        <w:t xml:space="preserve"> at p8.</w:t>
      </w:r>
    </w:p>
  </w:footnote>
  <w:footnote w:id="10">
    <w:p w14:paraId="11729AA5" w14:textId="4920848B" w:rsidR="00027F3B" w:rsidRPr="00634E18" w:rsidRDefault="00027F3B" w:rsidP="00AC13C7">
      <w:pPr>
        <w:pStyle w:val="FootnoteText"/>
        <w:jc w:val="both"/>
      </w:pPr>
      <w:r w:rsidRPr="00634E18">
        <w:rPr>
          <w:rStyle w:val="FootnoteReference"/>
        </w:rPr>
        <w:footnoteRef/>
      </w:r>
      <w:r w:rsidRPr="00634E18">
        <w:t xml:space="preserve"> </w:t>
      </w:r>
      <w:r w:rsidR="00E1374D">
        <w:tab/>
      </w:r>
      <w:r w:rsidRPr="00634E18">
        <w:t>Samuel D Warren and Louis D Brandeis, “The Right to Privacy” (1890) 4(5) H.L.R 193 at 195.</w:t>
      </w:r>
    </w:p>
  </w:footnote>
  <w:footnote w:id="11">
    <w:p w14:paraId="191668E7"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Professor Gary Chan notes that this is “intertwined with our desire to maintain particular relationships</w:t>
      </w:r>
    </w:p>
    <w:p w14:paraId="0233BB4D" w14:textId="6BB8515E" w:rsidR="00027F3B" w:rsidRPr="00634E18" w:rsidRDefault="00027F3B" w:rsidP="00E1374D">
      <w:pPr>
        <w:pStyle w:val="FootnoteText"/>
        <w:ind w:left="720"/>
        <w:jc w:val="both"/>
      </w:pPr>
      <w:r w:rsidRPr="00634E18">
        <w:t xml:space="preserve">with various people, essentially a consequentialist account of privacy.” </w:t>
      </w:r>
      <w:r w:rsidRPr="00634E18">
        <w:rPr>
          <w:i/>
        </w:rPr>
        <w:t xml:space="preserve">The Law of Torts in Singapore </w:t>
      </w:r>
      <w:r w:rsidRPr="00634E18">
        <w:t>(Academy Publishing, 2</w:t>
      </w:r>
      <w:r w:rsidRPr="00634E18">
        <w:rPr>
          <w:vertAlign w:val="superscript"/>
        </w:rPr>
        <w:t>nd</w:t>
      </w:r>
      <w:r w:rsidRPr="00634E18">
        <w:t xml:space="preserve"> Ed, 2016) at para 16.007.</w:t>
      </w:r>
    </w:p>
  </w:footnote>
  <w:footnote w:id="12">
    <w:p w14:paraId="159E6854" w14:textId="77777777" w:rsidR="00E1374D" w:rsidRDefault="00027F3B" w:rsidP="00EC488E">
      <w:pPr>
        <w:pStyle w:val="FootnoteText"/>
      </w:pPr>
      <w:r>
        <w:rPr>
          <w:rStyle w:val="FootnoteReference"/>
        </w:rPr>
        <w:footnoteRef/>
      </w:r>
      <w:r>
        <w:t xml:space="preserve"> </w:t>
      </w:r>
      <w:r w:rsidR="00E1374D">
        <w:tab/>
      </w:r>
      <w:r>
        <w:t>New Zealand Law Commission, “Study Paper 15: Intimate Covert Filming” (28 June 2004)</w:t>
      </w:r>
    </w:p>
    <w:p w14:paraId="489927C9" w14:textId="35BC5890" w:rsidR="00027F3B" w:rsidRDefault="00027F3B" w:rsidP="00E1374D">
      <w:pPr>
        <w:pStyle w:val="FootnoteText"/>
        <w:ind w:firstLine="720"/>
      </w:pPr>
      <w:r>
        <w:t>&lt;</w:t>
      </w:r>
      <w:hyperlink r:id="rId8" w:history="1">
        <w:r w:rsidRPr="00DD0074">
          <w:rPr>
            <w:rStyle w:val="Hyperlink"/>
          </w:rPr>
          <w:t>https://www.lawcom.govt.nz/our-projects/covert-filming</w:t>
        </w:r>
      </w:hyperlink>
      <w:r>
        <w:t>&gt; (accessed 20 July 2019) at para 2.8.</w:t>
      </w:r>
    </w:p>
  </w:footnote>
  <w:footnote w:id="13">
    <w:p w14:paraId="19A9932E" w14:textId="77777777" w:rsidR="00E1374D" w:rsidRDefault="00027F3B" w:rsidP="00E1374D">
      <w:pPr>
        <w:pStyle w:val="FootnoteText"/>
        <w:jc w:val="both"/>
      </w:pPr>
      <w:r w:rsidRPr="00634E18">
        <w:rPr>
          <w:rStyle w:val="FootnoteReference"/>
        </w:rPr>
        <w:footnoteRef/>
      </w:r>
      <w:r w:rsidR="00E1374D">
        <w:t xml:space="preserve"> </w:t>
      </w:r>
      <w:r w:rsidR="00E1374D">
        <w:tab/>
      </w:r>
      <w:r w:rsidRPr="00634E18">
        <w:t xml:space="preserve">Clay </w:t>
      </w:r>
      <w:proofErr w:type="spellStart"/>
      <w:r w:rsidRPr="00634E18">
        <w:t>Clavert</w:t>
      </w:r>
      <w:proofErr w:type="spellEnd"/>
      <w:r w:rsidRPr="00634E18">
        <w:t xml:space="preserve"> and Justin Brown, “Video Voyeurism, Privacy and the Internet: Exposing Peeping Toms in </w:t>
      </w:r>
    </w:p>
    <w:p w14:paraId="4EB85DCA" w14:textId="425D8AFB" w:rsidR="00027F3B" w:rsidRPr="00634E18" w:rsidRDefault="00027F3B" w:rsidP="00E1374D">
      <w:pPr>
        <w:pStyle w:val="FootnoteText"/>
        <w:ind w:firstLine="720"/>
        <w:jc w:val="both"/>
      </w:pPr>
      <w:r w:rsidRPr="00634E18">
        <w:t xml:space="preserve">Cyberspace” (2000) 18 Cardozo Arts &amp; </w:t>
      </w:r>
      <w:proofErr w:type="spellStart"/>
      <w:r w:rsidRPr="00634E18">
        <w:t>Ent.L.J</w:t>
      </w:r>
      <w:proofErr w:type="spellEnd"/>
      <w:r w:rsidRPr="00634E18">
        <w:t>. 469 at 488.</w:t>
      </w:r>
    </w:p>
  </w:footnote>
  <w:footnote w:id="14">
    <w:p w14:paraId="49424499" w14:textId="276B4105" w:rsidR="00027F3B" w:rsidRPr="00634E18" w:rsidRDefault="00027F3B" w:rsidP="00AC13C7">
      <w:pPr>
        <w:pStyle w:val="FootnoteText"/>
        <w:jc w:val="both"/>
      </w:pPr>
      <w:r w:rsidRPr="00634E18">
        <w:rPr>
          <w:rStyle w:val="FootnoteReference"/>
        </w:rPr>
        <w:footnoteRef/>
      </w:r>
      <w:r w:rsidRPr="00634E18">
        <w:t xml:space="preserve"> </w:t>
      </w:r>
      <w:r w:rsidR="00E1374D">
        <w:tab/>
      </w:r>
      <w:r w:rsidRPr="00634E18">
        <w:t>Department of Justice, Canada, “Voyeurism as a Criminal Offence: A Consultation Paper” at p</w:t>
      </w:r>
      <w:r w:rsidR="00FB2432">
        <w:t> </w:t>
      </w:r>
      <w:r w:rsidRPr="00634E18">
        <w:t>8.</w:t>
      </w:r>
    </w:p>
  </w:footnote>
  <w:footnote w:id="15">
    <w:p w14:paraId="415868B3" w14:textId="58AA1B88" w:rsidR="00027F3B" w:rsidRPr="00634E18" w:rsidRDefault="00027F3B" w:rsidP="00AC13C7">
      <w:pPr>
        <w:pStyle w:val="FootnoteText"/>
        <w:jc w:val="both"/>
      </w:pPr>
      <w:r w:rsidRPr="00634E18">
        <w:rPr>
          <w:rStyle w:val="FootnoteReference"/>
        </w:rPr>
        <w:footnoteRef/>
      </w:r>
      <w:r w:rsidRPr="00634E18">
        <w:t xml:space="preserve"> </w:t>
      </w:r>
      <w:r w:rsidR="00E1374D">
        <w:tab/>
      </w:r>
      <w:r w:rsidRPr="00634E18">
        <w:t>Department of Justice, Canada, “Voyeurism as a Criminal Offence: A Consultation Paper” at p</w:t>
      </w:r>
      <w:r w:rsidR="00FB2432">
        <w:t> </w:t>
      </w:r>
      <w:r w:rsidRPr="00634E18">
        <w:t>8.</w:t>
      </w:r>
    </w:p>
  </w:footnote>
  <w:footnote w:id="16">
    <w:p w14:paraId="24AAA4DC" w14:textId="77777777" w:rsidR="00E1374D" w:rsidRDefault="005B75AF">
      <w:pPr>
        <w:pStyle w:val="FootnoteText"/>
      </w:pPr>
      <w:r>
        <w:rPr>
          <w:rStyle w:val="FootnoteReference"/>
        </w:rPr>
        <w:footnoteRef/>
      </w:r>
      <w:r>
        <w:t xml:space="preserve"> </w:t>
      </w:r>
      <w:r w:rsidR="00E1374D">
        <w:tab/>
      </w:r>
      <w:r>
        <w:t xml:space="preserve">Wong Pei Ting, “The Big Read: Singapore’s voyeurism problem – what’s wrong with men, or the </w:t>
      </w:r>
    </w:p>
    <w:p w14:paraId="673F0104" w14:textId="7F1A07D0" w:rsidR="005B75AF" w:rsidRDefault="005B75AF" w:rsidP="00E1374D">
      <w:pPr>
        <w:pStyle w:val="FootnoteText"/>
        <w:ind w:left="720"/>
      </w:pPr>
      <w:r>
        <w:t xml:space="preserve">world?” </w:t>
      </w:r>
      <w:proofErr w:type="spellStart"/>
      <w:r>
        <w:rPr>
          <w:i/>
        </w:rPr>
        <w:t>ChannelNewsAsia</w:t>
      </w:r>
      <w:proofErr w:type="spellEnd"/>
      <w:r>
        <w:rPr>
          <w:i/>
        </w:rPr>
        <w:t xml:space="preserve"> </w:t>
      </w:r>
      <w:r>
        <w:t>(30 April 2019) &lt;</w:t>
      </w:r>
      <w:hyperlink r:id="rId9" w:history="1">
        <w:r w:rsidRPr="005B75AF">
          <w:rPr>
            <w:rStyle w:val="Hyperlink"/>
          </w:rPr>
          <w:t>https://www.channelnewsasia.com/news/singapore/singapore-voyeurism-problem-spy-cam-sex-harassment-monica-baey-11487244</w:t>
        </w:r>
      </w:hyperlink>
      <w:r>
        <w:t>&gt; (Accessed 9 December 2019).</w:t>
      </w:r>
    </w:p>
  </w:footnote>
  <w:footnote w:id="17">
    <w:p w14:paraId="2B990CF8" w14:textId="77777777" w:rsidR="00E1374D" w:rsidRDefault="00090C30">
      <w:pPr>
        <w:pStyle w:val="FootnoteText"/>
      </w:pPr>
      <w:r>
        <w:rPr>
          <w:rStyle w:val="FootnoteReference"/>
        </w:rPr>
        <w:footnoteRef/>
      </w:r>
      <w:r>
        <w:t xml:space="preserve"> </w:t>
      </w:r>
      <w:r w:rsidR="00E1374D">
        <w:tab/>
      </w:r>
      <w:proofErr w:type="spellStart"/>
      <w:r>
        <w:rPr>
          <w:i/>
        </w:rPr>
        <w:t>ChannelNew</w:t>
      </w:r>
      <w:r w:rsidR="009D65C9">
        <w:rPr>
          <w:i/>
        </w:rPr>
        <w:t>s</w:t>
      </w:r>
      <w:r>
        <w:rPr>
          <w:i/>
        </w:rPr>
        <w:t>Asia</w:t>
      </w:r>
      <w:proofErr w:type="spellEnd"/>
      <w:r>
        <w:t xml:space="preserve">, “Leaked sex tapes and child porn: A look into 13 illicit Telegram chat groups” (2 </w:t>
      </w:r>
    </w:p>
    <w:p w14:paraId="66CA6AFD" w14:textId="654BE4E5" w:rsidR="00090C30" w:rsidRPr="00090C30" w:rsidRDefault="00090C30" w:rsidP="00E1374D">
      <w:pPr>
        <w:pStyle w:val="FootnoteText"/>
        <w:ind w:firstLine="720"/>
      </w:pPr>
      <w:r>
        <w:t>November 2019) (Accessed 9 December 2019).</w:t>
      </w:r>
    </w:p>
  </w:footnote>
  <w:footnote w:id="18">
    <w:p w14:paraId="3072BC79"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 xml:space="preserve">Singapore Penal Code (Cap 224, 2008 Rev Ed). The offence at present provides for a punishment of up </w:t>
      </w:r>
    </w:p>
    <w:p w14:paraId="19BEB7CF" w14:textId="10EF0B86" w:rsidR="00027F3B" w:rsidRPr="00B25272" w:rsidRDefault="00027F3B" w:rsidP="00E1374D">
      <w:pPr>
        <w:pStyle w:val="FootnoteText"/>
        <w:ind w:left="720"/>
        <w:jc w:val="both"/>
        <w:rPr>
          <w:sz w:val="22"/>
          <w:szCs w:val="22"/>
        </w:rPr>
      </w:pPr>
      <w:r w:rsidRPr="00634E18">
        <w:t>to one year’s jail, or a fine, or both. It is noted that the more severe offence of outraging modesty</w:t>
      </w:r>
      <w:r w:rsidRPr="00634E18">
        <w:rPr>
          <w:vertAlign w:val="superscript"/>
        </w:rPr>
        <w:t xml:space="preserve"> </w:t>
      </w:r>
      <w:r w:rsidRPr="00634E18">
        <w:t>under s</w:t>
      </w:r>
      <w:r w:rsidR="00FB2432">
        <w:t> </w:t>
      </w:r>
      <w:r w:rsidRPr="00634E18">
        <w:t>354 of the Penal Code relates to where there is assault or use of criminal force, and has not been applied to such ‘Peeping Tom’ offences.</w:t>
      </w:r>
    </w:p>
  </w:footnote>
  <w:footnote w:id="19">
    <w:p w14:paraId="09360CC2"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 xml:space="preserve">Section 29 of the Films Act (Cap 107, 1998 Rev Ed) provides that a first -time offender who makes or </w:t>
      </w:r>
    </w:p>
    <w:p w14:paraId="2272A938" w14:textId="06C6EAE0" w:rsidR="00027F3B" w:rsidRPr="00634E18" w:rsidRDefault="00027F3B" w:rsidP="00E1374D">
      <w:pPr>
        <w:pStyle w:val="FootnoteText"/>
        <w:ind w:left="720"/>
        <w:jc w:val="both"/>
      </w:pPr>
      <w:r w:rsidRPr="00634E18">
        <w:t xml:space="preserve">reproduces any obscene film, whether or not for the purposes of distribution, will be liable on conviction to a fine of $20,000 to $40,000 and a jail term of up to 2 years or both, with higher maximum sentences prescribed for subsequent offenders; while section 30 of the Act provides that a person who possesses an obscene film will be liable on conviction to a fine of at least $500 for each obscene film in possession, or jail of up to six months, or both. The accused in </w:t>
      </w:r>
      <w:r w:rsidRPr="00634E18">
        <w:rPr>
          <w:i/>
        </w:rPr>
        <w:t xml:space="preserve">PP v Tay </w:t>
      </w:r>
      <w:proofErr w:type="spellStart"/>
      <w:r w:rsidRPr="00634E18">
        <w:rPr>
          <w:i/>
        </w:rPr>
        <w:t>Beng</w:t>
      </w:r>
      <w:proofErr w:type="spellEnd"/>
      <w:r w:rsidRPr="00634E18">
        <w:rPr>
          <w:i/>
        </w:rPr>
        <w:t xml:space="preserve"> Guan Albert </w:t>
      </w:r>
      <w:r w:rsidRPr="00634E18">
        <w:t>[2000] 2 SLR(R) 778 who used a video camcorder in his bathroom to film the private moments of two female colleagues while they used the bathroom was charged under s</w:t>
      </w:r>
      <w:r w:rsidR="000A1E19">
        <w:t> </w:t>
      </w:r>
      <w:r w:rsidRPr="00634E18">
        <w:t>509 of the Penal Code but not under s</w:t>
      </w:r>
      <w:r w:rsidR="000A1E19">
        <w:t> </w:t>
      </w:r>
      <w:r w:rsidRPr="00634E18">
        <w:t>29 or s</w:t>
      </w:r>
      <w:r w:rsidR="000A1E19">
        <w:t> </w:t>
      </w:r>
      <w:r w:rsidRPr="00634E18">
        <w:t xml:space="preserve">30 of the Films Act, while more recently, the accused in </w:t>
      </w:r>
      <w:r w:rsidRPr="00634E18">
        <w:rPr>
          <w:i/>
        </w:rPr>
        <w:t xml:space="preserve">PP v Chong Hou En </w:t>
      </w:r>
      <w:r w:rsidRPr="00634E18">
        <w:t>[2015] 3 SLR 222 (“</w:t>
      </w:r>
      <w:r w:rsidRPr="00634E18">
        <w:rPr>
          <w:i/>
        </w:rPr>
        <w:t>Chong Hou En</w:t>
      </w:r>
      <w:r w:rsidRPr="00634E18">
        <w:t>”) who filmed ‘up-skirt videos’ via a mini-camera attached to his shoe was charged under both s 509 of the Penal Code and s</w:t>
      </w:r>
      <w:r w:rsidR="00FB2432">
        <w:t> </w:t>
      </w:r>
      <w:r w:rsidRPr="00634E18">
        <w:t xml:space="preserve">30 of the Films Act. </w:t>
      </w:r>
    </w:p>
  </w:footnote>
  <w:footnote w:id="20">
    <w:p w14:paraId="2D510686" w14:textId="6E1D4B56" w:rsidR="00FB2432" w:rsidRDefault="00027F3B" w:rsidP="00FB2432">
      <w:pPr>
        <w:pStyle w:val="FootnoteText"/>
      </w:pPr>
      <w:r>
        <w:rPr>
          <w:rStyle w:val="FootnoteReference"/>
        </w:rPr>
        <w:footnoteRef/>
      </w:r>
      <w:r>
        <w:t xml:space="preserve"> </w:t>
      </w:r>
      <w:r w:rsidR="00E1374D">
        <w:tab/>
      </w:r>
      <w:r w:rsidR="00FB2432">
        <w:t xml:space="preserve">Section </w:t>
      </w:r>
      <w:r>
        <w:t>292(a) of the Penal Code provides for jail of up to three months or fine or both; while s</w:t>
      </w:r>
      <w:r w:rsidR="00FB2432">
        <w:t> </w:t>
      </w:r>
      <w:r>
        <w:t>384</w:t>
      </w:r>
      <w:r w:rsidR="00FB2432">
        <w:t xml:space="preserve"> </w:t>
      </w:r>
    </w:p>
    <w:p w14:paraId="7D07D0E0" w14:textId="7ABBF31C" w:rsidR="00027F3B" w:rsidRPr="009E2B55" w:rsidRDefault="00027F3B" w:rsidP="00FB2432">
      <w:pPr>
        <w:pStyle w:val="FootnoteText"/>
        <w:ind w:left="720"/>
      </w:pPr>
      <w:r>
        <w:t>provides</w:t>
      </w:r>
      <w:r w:rsidR="00FB2432">
        <w:t xml:space="preserve"> </w:t>
      </w:r>
      <w:r>
        <w:t xml:space="preserve">that extortion is to be punished with jail of 2 to 7 years with caning, and s506 provides that criminal intimidation is to be punished with jail of up to 2 years or fine or both, with other </w:t>
      </w:r>
      <w:r w:rsidR="00297D96">
        <w:t>provisions</w:t>
      </w:r>
      <w:r>
        <w:t xml:space="preserve"> depending on the nature of the threat. The accused in </w:t>
      </w:r>
      <w:r>
        <w:rPr>
          <w:i/>
        </w:rPr>
        <w:t xml:space="preserve">PP v Mohamed </w:t>
      </w:r>
      <w:proofErr w:type="spellStart"/>
      <w:r>
        <w:rPr>
          <w:i/>
        </w:rPr>
        <w:t>Hirwandie</w:t>
      </w:r>
      <w:proofErr w:type="spellEnd"/>
      <w:r>
        <w:rPr>
          <w:i/>
        </w:rPr>
        <w:t xml:space="preserve"> </w:t>
      </w:r>
      <w:proofErr w:type="spellStart"/>
      <w:r>
        <w:rPr>
          <w:i/>
        </w:rPr>
        <w:t>Mohd</w:t>
      </w:r>
      <w:proofErr w:type="spellEnd"/>
      <w:r>
        <w:rPr>
          <w:i/>
        </w:rPr>
        <w:t xml:space="preserve"> Hashim </w:t>
      </w:r>
      <w:r>
        <w:t xml:space="preserve"> who threatened to post nude photographs of a women he met online was jailed four months for criminal intimidation</w:t>
      </w:r>
      <w:r w:rsidR="00D340BD">
        <w:t xml:space="preserve"> (</w:t>
      </w:r>
      <w:r w:rsidR="00D340BD" w:rsidRPr="00D340BD">
        <w:t xml:space="preserve">unreported; Elena Chong, “Designer jailed for threat to circulate woman’s nude photos, fined $23k for obscene video films” </w:t>
      </w:r>
      <w:r w:rsidR="00D340BD" w:rsidRPr="00D340BD">
        <w:rPr>
          <w:i/>
        </w:rPr>
        <w:t xml:space="preserve">The Straits Times </w:t>
      </w:r>
      <w:r w:rsidR="00D340BD" w:rsidRPr="00D340BD">
        <w:t>(4 April 2017) &lt;</w:t>
      </w:r>
      <w:hyperlink r:id="rId10" w:history="1">
        <w:r w:rsidR="00D340BD" w:rsidRPr="00D340BD">
          <w:rPr>
            <w:rStyle w:val="Hyperlink"/>
          </w:rPr>
          <w:t>https://www.straitstimes.com/singapore/courts-crime/designer-jailed-for-threat-to-circulate-womans-nude-photos-fined-23k-for</w:t>
        </w:r>
      </w:hyperlink>
      <w:r w:rsidR="00D340BD" w:rsidRPr="00D340BD">
        <w:t>&gt;</w:t>
      </w:r>
      <w:r w:rsidR="00D340BD">
        <w:t xml:space="preserve">), while the accused in </w:t>
      </w:r>
      <w:r w:rsidR="00D340BD">
        <w:rPr>
          <w:i/>
        </w:rPr>
        <w:t xml:space="preserve">PP v Lu Yi </w:t>
      </w:r>
      <w:r w:rsidR="00D340BD">
        <w:t>who uploaded his girlfriend’s nude photographs to a Tumblr-hosted website after their relationship was over was</w:t>
      </w:r>
      <w:r w:rsidR="009C557C">
        <w:t xml:space="preserve"> charged under s</w:t>
      </w:r>
      <w:r w:rsidR="000A1E19">
        <w:t> </w:t>
      </w:r>
      <w:r w:rsidR="009C557C">
        <w:t>292(a)</w:t>
      </w:r>
      <w:r w:rsidR="00A26DBC">
        <w:t xml:space="preserve"> and</w:t>
      </w:r>
      <w:r w:rsidR="00D340BD">
        <w:t xml:space="preserve"> jailed for four weeks (unreported; </w:t>
      </w:r>
      <w:r w:rsidR="00623865">
        <w:t xml:space="preserve">Elena Chong, “Man sent ex-girlfriend’s nude photos to website” </w:t>
      </w:r>
      <w:r w:rsidR="00623865">
        <w:rPr>
          <w:i/>
        </w:rPr>
        <w:t xml:space="preserve">The Straits Times </w:t>
      </w:r>
      <w:r w:rsidR="00623865">
        <w:t>(4 April 2017) &lt;</w:t>
      </w:r>
      <w:hyperlink r:id="rId11" w:history="1">
        <w:r w:rsidR="009C557C" w:rsidRPr="009C557C">
          <w:rPr>
            <w:rStyle w:val="Hyperlink"/>
          </w:rPr>
          <w:t>https://www.straitstimes.com/singapore/courts-crime/man-sent-ex-girlfriends-nude-photos-to-website</w:t>
        </w:r>
      </w:hyperlink>
      <w:r w:rsidR="00623865">
        <w:t>&gt;</w:t>
      </w:r>
      <w:r w:rsidR="00F522D1">
        <w:t>) (Penal Code Review Committee Report at pp82-83)</w:t>
      </w:r>
      <w:r>
        <w:t>. More recently, f</w:t>
      </w:r>
      <w:r w:rsidRPr="009E320F">
        <w:t>our persons were charged under s</w:t>
      </w:r>
      <w:r w:rsidR="000A1E19">
        <w:t> </w:t>
      </w:r>
      <w:r w:rsidRPr="009E320F">
        <w:t>292(a) for their alleged involvement in SG Nasi Lemak</w:t>
      </w:r>
      <w:r>
        <w:t xml:space="preserve"> (</w:t>
      </w:r>
      <w:proofErr w:type="spellStart"/>
      <w:r>
        <w:t>Shaffiq</w:t>
      </w:r>
      <w:proofErr w:type="spellEnd"/>
      <w:r>
        <w:t xml:space="preserve"> </w:t>
      </w:r>
      <w:proofErr w:type="spellStart"/>
      <w:r>
        <w:t>Alkhatib</w:t>
      </w:r>
      <w:proofErr w:type="spellEnd"/>
      <w:r>
        <w:t xml:space="preserve">, “2 teens among 4 charged with transmitting obscene materials in SG Nasi Lemak Telegram group chat” </w:t>
      </w:r>
      <w:r>
        <w:rPr>
          <w:i/>
        </w:rPr>
        <w:t xml:space="preserve">The Straits Times </w:t>
      </w:r>
      <w:r>
        <w:t>(15 October 2019) &lt;</w:t>
      </w:r>
      <w:hyperlink r:id="rId12" w:history="1">
        <w:r w:rsidRPr="00027F3B">
          <w:rPr>
            <w:rStyle w:val="Hyperlink"/>
          </w:rPr>
          <w:t>https://www.straitstimes.com/singapore/courts-crime/2-teens-among-4-charged-with-circulating-obscene-materials-in-sg-nasi-lemak</w:t>
        </w:r>
      </w:hyperlink>
      <w:r>
        <w:t xml:space="preserve">&gt;); while a man who uploaded his victim’s nude photos onto social media platform Tumblr was jailed for 10 weeks for one count </w:t>
      </w:r>
      <w:r w:rsidR="00AD3C4D">
        <w:t xml:space="preserve">each </w:t>
      </w:r>
      <w:r>
        <w:t>of s</w:t>
      </w:r>
      <w:r w:rsidR="000A1E19">
        <w:t> </w:t>
      </w:r>
      <w:r>
        <w:t>292(a) and s</w:t>
      </w:r>
      <w:r w:rsidR="000A1E19">
        <w:t> </w:t>
      </w:r>
      <w:r w:rsidR="009E2B55">
        <w:t xml:space="preserve">503 (Kok </w:t>
      </w:r>
      <w:proofErr w:type="spellStart"/>
      <w:r w:rsidR="009E2B55">
        <w:t>Yufeng</w:t>
      </w:r>
      <w:proofErr w:type="spellEnd"/>
      <w:r w:rsidR="009E2B55">
        <w:t xml:space="preserve">, “Man jailed 10 weeks for uploading revenge porn on Tumblr” </w:t>
      </w:r>
      <w:r w:rsidR="009E2B55">
        <w:rPr>
          <w:i/>
        </w:rPr>
        <w:t xml:space="preserve">The New Paper </w:t>
      </w:r>
      <w:r w:rsidR="009E2B55">
        <w:t>(8 October 2019) &lt;</w:t>
      </w:r>
      <w:hyperlink r:id="rId13" w:history="1">
        <w:r w:rsidR="009E2B55" w:rsidRPr="009E2B55">
          <w:rPr>
            <w:rStyle w:val="Hyperlink"/>
          </w:rPr>
          <w:t>https://www.asiaone.com/digital/man-jailed-10-weeks-uploading-revenge-porn-tumblr</w:t>
        </w:r>
      </w:hyperlink>
      <w:r w:rsidR="009E2B55">
        <w:t>&gt; (All accessed 9 December 2019).</w:t>
      </w:r>
    </w:p>
  </w:footnote>
  <w:footnote w:id="21">
    <w:p w14:paraId="3BD67D9D"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 xml:space="preserve">As people may now “make images not readily accessible to the eye,” such as through long-range lenses </w:t>
      </w:r>
    </w:p>
    <w:p w14:paraId="1ED6D499" w14:textId="1DE95776" w:rsidR="00027F3B" w:rsidRPr="00634E18" w:rsidRDefault="00027F3B" w:rsidP="00E1374D">
      <w:pPr>
        <w:pStyle w:val="FootnoteText"/>
        <w:ind w:left="720"/>
        <w:jc w:val="both"/>
      </w:pPr>
      <w:r w:rsidRPr="00634E18">
        <w:t>or camera placed below women’s skirts, and “repeatedly scrutinize” and disseminate these images: Penal Code Review Committee Report at p</w:t>
      </w:r>
      <w:r w:rsidR="000A1E19">
        <w:t> </w:t>
      </w:r>
      <w:r w:rsidRPr="00634E18">
        <w:t xml:space="preserve">75. </w:t>
      </w:r>
    </w:p>
  </w:footnote>
  <w:footnote w:id="22">
    <w:p w14:paraId="1C4A8696" w14:textId="77777777" w:rsidR="00E1374D" w:rsidRDefault="00027F3B" w:rsidP="00AC13C7">
      <w:pPr>
        <w:pStyle w:val="FootnoteText"/>
        <w:jc w:val="both"/>
      </w:pPr>
      <w:r w:rsidRPr="00634E18">
        <w:rPr>
          <w:rStyle w:val="FootnoteReference"/>
        </w:rPr>
        <w:footnoteRef/>
      </w:r>
      <w:r w:rsidRPr="00634E18">
        <w:t xml:space="preserve"> </w:t>
      </w:r>
      <w:r w:rsidR="00E1374D">
        <w:tab/>
      </w:r>
      <w:r w:rsidRPr="00634E18">
        <w:t xml:space="preserve">Thus the accused in </w:t>
      </w:r>
      <w:r w:rsidRPr="00634E18">
        <w:rPr>
          <w:i/>
        </w:rPr>
        <w:t xml:space="preserve">PP v Colin Teo Han </w:t>
      </w:r>
      <w:proofErr w:type="spellStart"/>
      <w:r w:rsidRPr="00634E18">
        <w:rPr>
          <w:i/>
        </w:rPr>
        <w:t>Jern</w:t>
      </w:r>
      <w:proofErr w:type="spellEnd"/>
      <w:r w:rsidRPr="00634E18">
        <w:rPr>
          <w:i/>
        </w:rPr>
        <w:t xml:space="preserve"> </w:t>
      </w:r>
      <w:r w:rsidRPr="00634E18">
        <w:t xml:space="preserve">[2017] SGMC 74 who surreptitiously took videos and </w:t>
      </w:r>
    </w:p>
    <w:p w14:paraId="02B82FBC" w14:textId="35A8735C" w:rsidR="00027F3B" w:rsidRPr="00634E18" w:rsidRDefault="00027F3B" w:rsidP="00E1374D">
      <w:pPr>
        <w:pStyle w:val="FootnoteText"/>
        <w:ind w:left="720"/>
        <w:jc w:val="both"/>
      </w:pPr>
      <w:r w:rsidRPr="00634E18">
        <w:t xml:space="preserve">photos of other men engaged in various bathroom-related activities in bathroom cubicles was charged under s29 and s30 of the Films Act for making and possessing obscene films respectively, but could only be found liable under s268 of the Penal Code for causing a public nuisance, which carries the punishment of a fine of up to $1,000 under </w:t>
      </w:r>
      <w:r w:rsidR="00FB2432">
        <w:t>s</w:t>
      </w:r>
      <w:r w:rsidR="000A1E19">
        <w:t> </w:t>
      </w:r>
      <w:r w:rsidRPr="00634E18">
        <w:t>290 of the Code.</w:t>
      </w:r>
      <w:r w:rsidR="0047524B">
        <w:t xml:space="preserve"> Following the Criminal Law Reform Act 2019, the offence of insulting modesty now applies to “any person”: </w:t>
      </w:r>
      <w:r w:rsidR="00B75066">
        <w:t>Penal Code, s</w:t>
      </w:r>
      <w:r w:rsidR="000A1E19">
        <w:t> </w:t>
      </w:r>
      <w:r w:rsidR="00B75066">
        <w:t>377BA.</w:t>
      </w:r>
    </w:p>
  </w:footnote>
  <w:footnote w:id="23">
    <w:p w14:paraId="1A374FA5" w14:textId="35808764" w:rsidR="00027F3B" w:rsidRDefault="00027F3B">
      <w:pPr>
        <w:pStyle w:val="FootnoteText"/>
      </w:pPr>
      <w:r>
        <w:rPr>
          <w:rStyle w:val="FootnoteReference"/>
        </w:rPr>
        <w:footnoteRef/>
      </w:r>
      <w:r>
        <w:t xml:space="preserve"> </w:t>
      </w:r>
      <w:r w:rsidR="00E1374D">
        <w:tab/>
      </w:r>
      <w:r w:rsidRPr="00CF7EBE">
        <w:t>Penal Code Review Committee Report at p</w:t>
      </w:r>
      <w:r w:rsidR="000A1E19">
        <w:t> </w:t>
      </w:r>
      <w:r>
        <w:t>82.</w:t>
      </w:r>
    </w:p>
  </w:footnote>
  <w:footnote w:id="24">
    <w:p w14:paraId="60F9FF28" w14:textId="1A5E73B4" w:rsidR="004458F8" w:rsidRDefault="004458F8">
      <w:pPr>
        <w:pStyle w:val="FootnoteText"/>
      </w:pPr>
      <w:r>
        <w:rPr>
          <w:rStyle w:val="FootnoteReference"/>
        </w:rPr>
        <w:footnoteRef/>
      </w:r>
      <w:r>
        <w:t xml:space="preserve"> </w:t>
      </w:r>
      <w:r w:rsidR="00E1374D">
        <w:tab/>
      </w:r>
      <w:r w:rsidRPr="004458F8">
        <w:t>Penal Code Review Committee Report at p</w:t>
      </w:r>
      <w:r>
        <w:t>p</w:t>
      </w:r>
      <w:r w:rsidR="000A1E19">
        <w:t> </w:t>
      </w:r>
      <w:r>
        <w:t>75-76, 83.</w:t>
      </w:r>
    </w:p>
  </w:footnote>
  <w:footnote w:id="25">
    <w:p w14:paraId="00E3EC8C" w14:textId="1C0E90B5" w:rsidR="00027F3B" w:rsidRPr="00451C2E" w:rsidRDefault="00027F3B" w:rsidP="00932E98">
      <w:pPr>
        <w:pStyle w:val="FootnoteText"/>
        <w:jc w:val="both"/>
      </w:pPr>
      <w:r w:rsidRPr="00634E18">
        <w:rPr>
          <w:rStyle w:val="FootnoteReference"/>
        </w:rPr>
        <w:footnoteRef/>
      </w:r>
      <w:r w:rsidRPr="00E859F8">
        <w:t xml:space="preserve"> </w:t>
      </w:r>
      <w:r w:rsidR="00E1374D">
        <w:tab/>
      </w:r>
      <w:r w:rsidR="00AC0974">
        <w:t xml:space="preserve">Penal Code, </w:t>
      </w:r>
      <w:r w:rsidRPr="00E859F8">
        <w:t>s</w:t>
      </w:r>
      <w:r w:rsidR="000A1E19">
        <w:t> </w:t>
      </w:r>
      <w:r w:rsidRPr="00E859F8">
        <w:t>377BB(1)</w:t>
      </w:r>
      <w:r>
        <w:t xml:space="preserve">. </w:t>
      </w:r>
    </w:p>
  </w:footnote>
  <w:footnote w:id="26">
    <w:p w14:paraId="42F66A2F" w14:textId="193404E5" w:rsidR="00027F3B" w:rsidRDefault="00027F3B" w:rsidP="00932E98">
      <w:pPr>
        <w:pStyle w:val="FootnoteText"/>
      </w:pPr>
      <w:r>
        <w:rPr>
          <w:rStyle w:val="FootnoteReference"/>
        </w:rPr>
        <w:footnoteRef/>
      </w:r>
      <w:r>
        <w:t xml:space="preserve"> </w:t>
      </w:r>
      <w:r w:rsidR="00E1374D">
        <w:tab/>
      </w:r>
      <w:r w:rsidR="0052139E">
        <w:t xml:space="preserve">Penal Code, </w:t>
      </w:r>
      <w:r>
        <w:t>s</w:t>
      </w:r>
      <w:r w:rsidR="000A1E19">
        <w:t> </w:t>
      </w:r>
      <w:r>
        <w:t>377C(3)(f).</w:t>
      </w:r>
    </w:p>
  </w:footnote>
  <w:footnote w:id="27">
    <w:p w14:paraId="45EBB6E5" w14:textId="62F7181A" w:rsidR="00027F3B" w:rsidRPr="00634E18" w:rsidRDefault="00027F3B" w:rsidP="00932E98">
      <w:pPr>
        <w:pStyle w:val="FootnoteText"/>
      </w:pPr>
      <w:r w:rsidRPr="00634E18">
        <w:rPr>
          <w:rStyle w:val="FootnoteReference"/>
        </w:rPr>
        <w:footnoteRef/>
      </w:r>
      <w:r w:rsidRPr="00634E18">
        <w:t xml:space="preserve"> </w:t>
      </w:r>
      <w:r w:rsidR="00E1374D">
        <w:tab/>
      </w:r>
      <w:r w:rsidR="003A07CE">
        <w:t>Penal Code,</w:t>
      </w:r>
      <w:r w:rsidRPr="00EA7122">
        <w:t xml:space="preserve"> s</w:t>
      </w:r>
      <w:r w:rsidR="000A1E19">
        <w:t> </w:t>
      </w:r>
      <w:r w:rsidRPr="00EA7122">
        <w:t>37</w:t>
      </w:r>
      <w:r>
        <w:t xml:space="preserve">7BB (9); </w:t>
      </w:r>
      <w:r w:rsidRPr="00634E18">
        <w:t>Penal Code Review Committee Report at p</w:t>
      </w:r>
      <w:r w:rsidR="000A1E19">
        <w:t> </w:t>
      </w:r>
      <w:r w:rsidRPr="00634E18">
        <w:t>77.</w:t>
      </w:r>
    </w:p>
  </w:footnote>
  <w:footnote w:id="28">
    <w:p w14:paraId="2830B06B" w14:textId="38547651" w:rsidR="00E1374D" w:rsidRDefault="00027F3B" w:rsidP="00932E98">
      <w:pPr>
        <w:pStyle w:val="FootnoteText"/>
      </w:pPr>
      <w:r>
        <w:rPr>
          <w:rStyle w:val="FootnoteReference"/>
        </w:rPr>
        <w:footnoteRef/>
      </w:r>
      <w:r>
        <w:t xml:space="preserve"> </w:t>
      </w:r>
      <w:r w:rsidR="00E1374D">
        <w:tab/>
      </w:r>
      <w:r w:rsidRPr="00D20F77">
        <w:t xml:space="preserve">Penal Code Review Committee Report (August 2018) &lt; </w:t>
      </w:r>
      <w:hyperlink r:id="rId14" w:history="1">
        <w:r w:rsidR="00E1374D" w:rsidRPr="00F52CD3">
          <w:rPr>
            <w:rStyle w:val="Hyperlink"/>
          </w:rPr>
          <w:t>https://www.mha.gov.sg/docs/default-</w:t>
        </w:r>
      </w:hyperlink>
    </w:p>
    <w:p w14:paraId="5C7F8CA5" w14:textId="3F4DD6A8" w:rsidR="00027F3B" w:rsidRDefault="00027F3B" w:rsidP="00E1374D">
      <w:pPr>
        <w:pStyle w:val="FootnoteText"/>
        <w:ind w:left="720"/>
      </w:pPr>
      <w:r w:rsidRPr="00D20F77">
        <w:t xml:space="preserve">source/default-document-library/penal-code-review-committee-report3d9709ea6f13421b92d3ef8af69a4ad0.pdf &gt; </w:t>
      </w:r>
      <w:r>
        <w:t>(A</w:t>
      </w:r>
      <w:r w:rsidRPr="00D20F77">
        <w:t xml:space="preserve">ccessed </w:t>
      </w:r>
      <w:r>
        <w:t xml:space="preserve">5 July 2019) at p77; </w:t>
      </w:r>
      <w:r w:rsidRPr="006E44CA">
        <w:rPr>
          <w:i/>
        </w:rPr>
        <w:t xml:space="preserve">Singapore Parliamentary Debates, Official Report </w:t>
      </w:r>
      <w:r w:rsidRPr="006E44CA">
        <w:t>(6 May 2019) vol 94 (Second Reading for the Criminal Law Reform Bill) (</w:t>
      </w:r>
      <w:proofErr w:type="spellStart"/>
      <w:r w:rsidRPr="006E44CA">
        <w:t>Amrin</w:t>
      </w:r>
      <w:proofErr w:type="spellEnd"/>
      <w:r w:rsidRPr="006E44CA">
        <w:t xml:space="preserve"> Amin, Senior Parliamentary Secretary to the Minister for Home Affairs).  </w:t>
      </w:r>
    </w:p>
  </w:footnote>
  <w:footnote w:id="29">
    <w:p w14:paraId="7F040B27" w14:textId="176A7867" w:rsidR="00FB2432" w:rsidRDefault="00FB2432" w:rsidP="00FB2432">
      <w:pPr>
        <w:pStyle w:val="FootnoteText"/>
      </w:pPr>
      <w:r>
        <w:rPr>
          <w:rStyle w:val="FootnoteReference"/>
        </w:rPr>
        <w:footnoteRef/>
      </w:r>
      <w:r>
        <w:t xml:space="preserve">  </w:t>
      </w:r>
      <w:r>
        <w:tab/>
      </w:r>
      <w:r w:rsidRPr="007E4ACB">
        <w:t xml:space="preserve">That said, the voyeurism provision here does largely resemble that of other common law </w:t>
      </w:r>
    </w:p>
    <w:p w14:paraId="592CC9CF" w14:textId="5CAE8AFF" w:rsidR="00FB2432" w:rsidRDefault="00FB2432" w:rsidP="00FB2432">
      <w:pPr>
        <w:pStyle w:val="FootnoteText"/>
        <w:ind w:left="720"/>
      </w:pPr>
      <w:r w:rsidRPr="007E4ACB">
        <w:t>jurisdictions</w:t>
      </w:r>
      <w:r>
        <w:t xml:space="preserve">. </w:t>
      </w:r>
      <w:r w:rsidRPr="009205F5">
        <w:t>For example, s</w:t>
      </w:r>
      <w:r w:rsidR="000A1E19">
        <w:t> </w:t>
      </w:r>
      <w:r w:rsidRPr="009205F5">
        <w:t xml:space="preserve">67 of UK’s Sexual Offences Act 2003 (Cap 42) provides that it is an offence where, </w:t>
      </w:r>
      <w:r w:rsidRPr="009205F5">
        <w:rPr>
          <w:i/>
        </w:rPr>
        <w:t>inter alia</w:t>
      </w:r>
      <w:r w:rsidRPr="009205F5">
        <w:t>, a person (</w:t>
      </w:r>
      <w:proofErr w:type="spellStart"/>
      <w:r w:rsidRPr="009205F5">
        <w:t>i</w:t>
      </w:r>
      <w:proofErr w:type="spellEnd"/>
      <w:r w:rsidRPr="009205F5">
        <w:t xml:space="preserve">) observes another person doing a private act (ii) for the purposes of obtaining sexual gratification, and (iii) knowing that the other person does not consent to so being observed. Whether a person is doing a private act is in turn determined by whether the person is in a place which would reasonably be expected to provide privacy, </w:t>
      </w:r>
      <w:r w:rsidRPr="009205F5">
        <w:rPr>
          <w:i/>
        </w:rPr>
        <w:t xml:space="preserve">and </w:t>
      </w:r>
      <w:r w:rsidRPr="009205F5">
        <w:t>that person’s private parts are exposed or covered only with underwear, that person is using a lavatory, or doing a sexual act “not of a kind ordinarily done in public.” Similarly, s</w:t>
      </w:r>
      <w:r w:rsidR="000A1E19">
        <w:t> </w:t>
      </w:r>
      <w:r w:rsidRPr="009205F5">
        <w:t>216G of the New Zealand Crimes Act 1961 prohibits a person from (</w:t>
      </w:r>
      <w:proofErr w:type="spellStart"/>
      <w:r w:rsidRPr="009205F5">
        <w:t>i</w:t>
      </w:r>
      <w:proofErr w:type="spellEnd"/>
      <w:r w:rsidRPr="009205F5">
        <w:t xml:space="preserve">) making a visual recording (ii) without the knowledge or consent of the human subject being recorded; (ii) the subject in a place which would reasonably be expected to provide privacy in the circumstances; </w:t>
      </w:r>
      <w:r w:rsidRPr="009205F5">
        <w:rPr>
          <w:i/>
        </w:rPr>
        <w:t>and</w:t>
      </w:r>
      <w:r w:rsidRPr="009205F5">
        <w:t xml:space="preserve"> (iii) the subject is naked, partly exposed or in underwear, engaged in sexual activity, or other personal bodily activities involving dressing or undressing.</w:t>
      </w:r>
    </w:p>
  </w:footnote>
  <w:footnote w:id="30">
    <w:p w14:paraId="23CFC9ED" w14:textId="77777777" w:rsidR="00E1374D" w:rsidRDefault="007E4ACB" w:rsidP="007E4ACB">
      <w:pPr>
        <w:pStyle w:val="FootnoteText"/>
      </w:pPr>
      <w:r>
        <w:rPr>
          <w:rStyle w:val="FootnoteReference"/>
        </w:rPr>
        <w:footnoteRef/>
      </w:r>
      <w:r>
        <w:t xml:space="preserve"> </w:t>
      </w:r>
      <w:r w:rsidR="00E1374D">
        <w:tab/>
      </w:r>
      <w:r>
        <w:t xml:space="preserve">The new offence is therefore different from, for example, its Canadian counterpart, which does not </w:t>
      </w:r>
    </w:p>
    <w:p w14:paraId="4525A5E0" w14:textId="2F173E2A" w:rsidR="007E4ACB" w:rsidRPr="007E4ACB" w:rsidRDefault="007E4ACB" w:rsidP="00E1374D">
      <w:pPr>
        <w:pStyle w:val="FootnoteText"/>
        <w:ind w:left="720"/>
      </w:pPr>
      <w:r>
        <w:t>require proof that one’s privacy has been invaded. It is sufficient if the observation was in circumstances where privacy was reasonably expected and the observation was for a sexual purpose (</w:t>
      </w:r>
      <w:r w:rsidRPr="007E4ACB">
        <w:t>Criminal Code of Canada (RSC, Cap 46, 1985), s</w:t>
      </w:r>
      <w:r w:rsidR="000A1E19">
        <w:t> </w:t>
      </w:r>
      <w:r w:rsidRPr="007E4ACB">
        <w:t xml:space="preserve">162(1) makes it an offence where person observes another in circumstances where privacy can reasonably be expected, </w:t>
      </w:r>
      <w:r w:rsidRPr="007E4ACB">
        <w:rPr>
          <w:i/>
        </w:rPr>
        <w:t>and</w:t>
      </w:r>
      <w:r w:rsidRPr="007E4ACB">
        <w:t xml:space="preserve"> (i) the person is in a place where he can reasonably be expected to be nude, partly exposed or engaged in sexual activity; or (ii) is so exposed or engaged in such an activity; or (iii) the observation or recording is done for a sexual purpose</w:t>
      </w:r>
      <w:r>
        <w:t xml:space="preserve">). Other culpable purposes that have been discussed elsewhere include that of </w:t>
      </w:r>
      <w:r w:rsidRPr="007E4ACB">
        <w:t>“humiliating, alarming or distressing the victim,” to address instances where the voyeur intends to shame, possibly via ‘revenge porn’ by circulating any images made, or claims that it is ‘for fun</w:t>
      </w:r>
      <w:r>
        <w:t xml:space="preserve">’. </w:t>
      </w:r>
      <w:r w:rsidRPr="007E4ACB">
        <w:t xml:space="preserve">For example, in </w:t>
      </w:r>
      <w:r w:rsidRPr="007E4ACB">
        <w:rPr>
          <w:i/>
        </w:rPr>
        <w:t xml:space="preserve">R v </w:t>
      </w:r>
      <w:proofErr w:type="spellStart"/>
      <w:r w:rsidRPr="007E4ACB">
        <w:rPr>
          <w:i/>
        </w:rPr>
        <w:t>Desilva</w:t>
      </w:r>
      <w:proofErr w:type="spellEnd"/>
      <w:r w:rsidRPr="007E4ACB">
        <w:rPr>
          <w:i/>
        </w:rPr>
        <w:t xml:space="preserve"> </w:t>
      </w:r>
      <w:r w:rsidRPr="007E4ACB">
        <w:t xml:space="preserve">(2011) ONCJ 133, when the accused made a sexually explicit video while he was in a relationship with the complainant girlfriend, his subsequent motive of circulating the video after their relationship went sour was not sexual, but “to embarrass and humiliate the complainant.” </w:t>
      </w:r>
      <w:r>
        <w:t>(</w:t>
      </w:r>
      <w:r w:rsidRPr="007E4ACB">
        <w:t>As noted by The Law Reform Commission Ireland in its “Report on Privacy: Surveillance and the Interception of Communications” (June 1998) &lt;http://www.lawreform.ie/_fileupload/Reports/rPrivacy.pdf&gt; (Accessed on 5 July 2019) at para 2.122</w:t>
      </w:r>
      <w:r>
        <w:t xml:space="preserve">). </w:t>
      </w:r>
      <w:r w:rsidRPr="007E4ACB">
        <w:t xml:space="preserve"> It is recognised that concerns were expressed at the House of Commons Public Bill Committee debates on an upcoming ‘up-skirting’-related bill on 10-12 July 2018 that the two proposed specified purposes of sexual gratification and humiliation, distress or alarming of the victim may not always be easy to prove, for example, where done for financial gain or “simply having a bit of fun.” Further, if the individual is not recognisable, humiliation might not be caused. However, Justice Minister Lucy Frazer expressed confidence that the purposes of sexual gratification and humiliation were familiar to criminal justice agencies and were used in current legislation, and it would be difficult to imagine circumstances other than the two purposes set out. For example, if a voyeur hoped to sell these videos for financial gain, the sexual gratification would likely be that of a third party’s: Voyeurism (Offences) (No. 2) Bill Second and Third Sittings </w:t>
      </w:r>
    </w:p>
    <w:p w14:paraId="75BB6357" w14:textId="03227CC6" w:rsidR="007E4ACB" w:rsidRDefault="007E4ACB" w:rsidP="00E1374D">
      <w:pPr>
        <w:pStyle w:val="FootnoteText"/>
        <w:ind w:left="720"/>
      </w:pPr>
      <w:r w:rsidRPr="007E4ACB">
        <w:t>&lt;</w:t>
      </w:r>
      <w:hyperlink r:id="rId15" w:history="1">
        <w:r w:rsidRPr="007E4ACB">
          <w:rPr>
            <w:rStyle w:val="Hyperlink"/>
          </w:rPr>
          <w:t>https://www.parliament.uk/business/news/2018/september-2018/voyeurism-offences-no-2-bill-commons-stages/</w:t>
        </w:r>
      </w:hyperlink>
      <w:r w:rsidRPr="007E4ACB">
        <w:t>&gt; (Accessed 5 July 2019).</w:t>
      </w:r>
    </w:p>
  </w:footnote>
  <w:footnote w:id="31">
    <w:p w14:paraId="6E8239A5" w14:textId="29B8AFD2" w:rsidR="00027F3B" w:rsidRDefault="00027F3B">
      <w:pPr>
        <w:pStyle w:val="FootnoteText"/>
      </w:pPr>
      <w:r>
        <w:rPr>
          <w:rStyle w:val="FootnoteReference"/>
        </w:rPr>
        <w:footnoteRef/>
      </w:r>
      <w:r>
        <w:t xml:space="preserve"> </w:t>
      </w:r>
      <w:r w:rsidR="00714052">
        <w:tab/>
      </w:r>
      <w:r w:rsidR="0011419A">
        <w:t xml:space="preserve">Penal Code, </w:t>
      </w:r>
      <w:r>
        <w:t>s</w:t>
      </w:r>
      <w:r w:rsidR="000A1E19">
        <w:t> </w:t>
      </w:r>
      <w:r>
        <w:t>377BC(1) and (2).</w:t>
      </w:r>
    </w:p>
  </w:footnote>
  <w:footnote w:id="32">
    <w:p w14:paraId="4494E207" w14:textId="361F679E" w:rsidR="0074515F" w:rsidRDefault="00027F3B" w:rsidP="0074515F">
      <w:pPr>
        <w:pStyle w:val="FootnoteText"/>
      </w:pPr>
      <w:r>
        <w:rPr>
          <w:rStyle w:val="FootnoteReference"/>
        </w:rPr>
        <w:footnoteRef/>
      </w:r>
      <w:r>
        <w:t xml:space="preserve"> </w:t>
      </w:r>
      <w:r w:rsidR="0074515F">
        <w:t xml:space="preserve"> </w:t>
      </w:r>
      <w:r w:rsidR="0074515F">
        <w:tab/>
      </w:r>
      <w:r w:rsidR="0011419A">
        <w:t xml:space="preserve">Penal Code, </w:t>
      </w:r>
      <w:r>
        <w:t>s</w:t>
      </w:r>
      <w:r w:rsidR="000A1E19">
        <w:t> </w:t>
      </w:r>
      <w:r>
        <w:t xml:space="preserve">377BD(1). Intimate image(s) or recording(s) are further defined as those of, </w:t>
      </w:r>
      <w:r>
        <w:rPr>
          <w:i/>
        </w:rPr>
        <w:t>inter alia</w:t>
      </w:r>
      <w:r>
        <w:t xml:space="preserve">, a </w:t>
      </w:r>
    </w:p>
    <w:p w14:paraId="33C8A1E8" w14:textId="66240D5A" w:rsidR="00027F3B" w:rsidRPr="00E01A37" w:rsidRDefault="00027F3B" w:rsidP="0074515F">
      <w:pPr>
        <w:pStyle w:val="FootnoteText"/>
        <w:ind w:left="720"/>
      </w:pPr>
      <w:r>
        <w:t xml:space="preserve">person’s private parts, or of the person doing a private act, but excludes “an image so altered that no reasonable person would believe that it depicts (the purported victim)”: </w:t>
      </w:r>
      <w:r w:rsidR="0011419A">
        <w:t xml:space="preserve">Penal Code, </w:t>
      </w:r>
      <w:r>
        <w:t>s</w:t>
      </w:r>
      <w:r w:rsidR="000A1E19">
        <w:t> </w:t>
      </w:r>
      <w:r>
        <w:t>377BE(5).</w:t>
      </w:r>
    </w:p>
  </w:footnote>
  <w:footnote w:id="33">
    <w:p w14:paraId="7C175007" w14:textId="6DD6D7DC" w:rsidR="00027F3B" w:rsidRDefault="00027F3B">
      <w:pPr>
        <w:pStyle w:val="FootnoteText"/>
      </w:pPr>
      <w:r>
        <w:rPr>
          <w:rStyle w:val="FootnoteReference"/>
        </w:rPr>
        <w:footnoteRef/>
      </w:r>
      <w:r>
        <w:t xml:space="preserve"> </w:t>
      </w:r>
      <w:r w:rsidR="0074515F">
        <w:tab/>
      </w:r>
      <w:r w:rsidR="0011419A">
        <w:t xml:space="preserve">Penal Code, </w:t>
      </w:r>
      <w:r>
        <w:t>s</w:t>
      </w:r>
      <w:r w:rsidR="000A1E19">
        <w:t> </w:t>
      </w:r>
      <w:r>
        <w:t>377BE(1) and (2).</w:t>
      </w:r>
    </w:p>
  </w:footnote>
  <w:footnote w:id="34">
    <w:p w14:paraId="13420099" w14:textId="63FE1728" w:rsidR="0074515F" w:rsidRDefault="00027F3B">
      <w:pPr>
        <w:pStyle w:val="FootnoteText"/>
      </w:pPr>
      <w:r>
        <w:rPr>
          <w:rStyle w:val="FootnoteReference"/>
        </w:rPr>
        <w:footnoteRef/>
      </w:r>
      <w:r>
        <w:t xml:space="preserve"> </w:t>
      </w:r>
      <w:r w:rsidR="0074515F">
        <w:tab/>
      </w:r>
      <w:r w:rsidR="00010E61">
        <w:t xml:space="preserve">Penal Code, </w:t>
      </w:r>
      <w:r w:rsidRPr="00B71D4E">
        <w:t>s</w:t>
      </w:r>
      <w:r w:rsidR="000A1E19">
        <w:t> </w:t>
      </w:r>
      <w:r w:rsidRPr="00B71D4E">
        <w:t>377</w:t>
      </w:r>
      <w:r>
        <w:t>C(3)(f)); Penal Code Review Committee Report at p</w:t>
      </w:r>
      <w:r w:rsidR="000A1E19">
        <w:t> </w:t>
      </w:r>
      <w:r>
        <w:t xml:space="preserve">76. Just one illustration has been </w:t>
      </w:r>
    </w:p>
    <w:p w14:paraId="734E1DA7" w14:textId="1700C2E8" w:rsidR="00027F3B" w:rsidRDefault="00027F3B" w:rsidP="0074515F">
      <w:pPr>
        <w:pStyle w:val="FootnoteText"/>
        <w:ind w:left="720"/>
      </w:pPr>
      <w:r>
        <w:t xml:space="preserve">offered: where a person is showering in an open-concept shower cubicle at the changing room of a swimming pool, he or she cannot reasonably expect not to be casually observed. However, that person can reasonably expect that he or she will not be surreptitiously recorded by a video camera. </w:t>
      </w:r>
    </w:p>
  </w:footnote>
  <w:footnote w:id="35">
    <w:p w14:paraId="587BFE54" w14:textId="6611709F" w:rsidR="00027F3B" w:rsidRPr="00634E18" w:rsidRDefault="00027F3B" w:rsidP="00AC13C7">
      <w:pPr>
        <w:pStyle w:val="FootnoteText"/>
        <w:jc w:val="both"/>
      </w:pPr>
      <w:r w:rsidRPr="00634E18">
        <w:rPr>
          <w:rStyle w:val="FootnoteReference"/>
        </w:rPr>
        <w:footnoteRef/>
      </w:r>
      <w:r w:rsidRPr="00634E18">
        <w:t xml:space="preserve"> </w:t>
      </w:r>
      <w:r w:rsidR="0074515F">
        <w:t xml:space="preserve"> </w:t>
      </w:r>
      <w:r w:rsidR="0074515F">
        <w:tab/>
      </w:r>
      <w:r w:rsidRPr="00634E18">
        <w:rPr>
          <w:i/>
        </w:rPr>
        <w:t xml:space="preserve">R v Jarvis </w:t>
      </w:r>
      <w:r w:rsidRPr="00634E18">
        <w:t>at [96].</w:t>
      </w:r>
    </w:p>
  </w:footnote>
  <w:footnote w:id="36">
    <w:p w14:paraId="6A2BF117" w14:textId="77777777" w:rsidR="0074515F" w:rsidRDefault="00027F3B">
      <w:pPr>
        <w:pStyle w:val="FootnoteText"/>
      </w:pPr>
      <w:r>
        <w:rPr>
          <w:rStyle w:val="FootnoteReference"/>
        </w:rPr>
        <w:footnoteRef/>
      </w:r>
      <w:r>
        <w:t xml:space="preserve"> </w:t>
      </w:r>
      <w:r w:rsidR="0074515F">
        <w:tab/>
      </w:r>
      <w:r w:rsidRPr="00050859">
        <w:rPr>
          <w:i/>
        </w:rPr>
        <w:t xml:space="preserve">Singapore Parliamentary Debates, Official Report </w:t>
      </w:r>
      <w:r w:rsidRPr="00050859">
        <w:t xml:space="preserve">(6 May 2019) vol 94 (Second Reading for the </w:t>
      </w:r>
    </w:p>
    <w:p w14:paraId="354E7422" w14:textId="7F293039" w:rsidR="00027F3B" w:rsidRDefault="00027F3B" w:rsidP="0074515F">
      <w:pPr>
        <w:pStyle w:val="FootnoteText"/>
        <w:ind w:firstLine="720"/>
      </w:pPr>
      <w:r w:rsidRPr="00050859">
        <w:t>Criminal Law Reform Bill) (</w:t>
      </w:r>
      <w:r>
        <w:t>Yip Pin Xiu, Nominated Member of Parliament</w:t>
      </w:r>
      <w:r w:rsidRPr="00050859">
        <w:t xml:space="preserve">). </w:t>
      </w:r>
    </w:p>
  </w:footnote>
  <w:footnote w:id="37">
    <w:p w14:paraId="4F0D1F97" w14:textId="77777777" w:rsidR="0074515F" w:rsidRDefault="00027F3B" w:rsidP="00AC13C7">
      <w:pPr>
        <w:pStyle w:val="FootnoteText"/>
        <w:jc w:val="both"/>
      </w:pPr>
      <w:r w:rsidRPr="00634E18">
        <w:rPr>
          <w:rStyle w:val="FootnoteReference"/>
        </w:rPr>
        <w:footnoteRef/>
      </w:r>
      <w:r w:rsidRPr="00634E18">
        <w:t xml:space="preserve"> </w:t>
      </w:r>
      <w:r w:rsidR="0074515F">
        <w:tab/>
      </w:r>
      <w:r w:rsidRPr="00634E18">
        <w:t xml:space="preserve">Elizabeth Paton-Simpson, “Privacy and the Reasonable Paranoid: The Protection of Privacy in Public </w:t>
      </w:r>
    </w:p>
    <w:p w14:paraId="7FA3A1BA" w14:textId="7D696323" w:rsidR="00027F3B" w:rsidRPr="00B25272" w:rsidRDefault="00027F3B" w:rsidP="0074515F">
      <w:pPr>
        <w:pStyle w:val="FootnoteText"/>
        <w:ind w:left="720"/>
        <w:jc w:val="both"/>
        <w:rPr>
          <w:sz w:val="22"/>
          <w:szCs w:val="22"/>
        </w:rPr>
      </w:pPr>
      <w:r w:rsidRPr="00634E18">
        <w:t xml:space="preserve">Places.” (2000) 50(3) U.T.L.J. 305 at 18, as noted by the British Columbia Supreme Court in </w:t>
      </w:r>
      <w:r w:rsidRPr="00634E18">
        <w:rPr>
          <w:i/>
        </w:rPr>
        <w:t xml:space="preserve">R v </w:t>
      </w:r>
      <w:proofErr w:type="spellStart"/>
      <w:r w:rsidRPr="00634E18">
        <w:rPr>
          <w:i/>
        </w:rPr>
        <w:t>Rudiger</w:t>
      </w:r>
      <w:proofErr w:type="spellEnd"/>
      <w:r w:rsidRPr="00634E18">
        <w:rPr>
          <w:i/>
        </w:rPr>
        <w:t xml:space="preserve"> </w:t>
      </w:r>
      <w:r w:rsidRPr="00634E18">
        <w:t>(2011) BCSC 1397 at [97].</w:t>
      </w:r>
    </w:p>
  </w:footnote>
  <w:footnote w:id="38">
    <w:p w14:paraId="1CFEAAC2" w14:textId="77777777" w:rsidR="0074515F" w:rsidRDefault="00027F3B" w:rsidP="00AC13C7">
      <w:pPr>
        <w:pStyle w:val="FootnoteText"/>
        <w:jc w:val="both"/>
      </w:pPr>
      <w:r w:rsidRPr="00634E18">
        <w:rPr>
          <w:rStyle w:val="FootnoteReference"/>
        </w:rPr>
        <w:footnoteRef/>
      </w:r>
      <w:r w:rsidRPr="00634E18">
        <w:t xml:space="preserve"> </w:t>
      </w:r>
      <w:r w:rsidR="0074515F">
        <w:tab/>
      </w:r>
      <w:r w:rsidRPr="00634E18">
        <w:t xml:space="preserve">Thus the three factors identified by the Penal Code Review Committee (as mentioned in [14]) rightly </w:t>
      </w:r>
    </w:p>
    <w:p w14:paraId="5F009B86" w14:textId="6941D113" w:rsidR="00027F3B" w:rsidRPr="00634E18" w:rsidRDefault="00027F3B" w:rsidP="0074515F">
      <w:pPr>
        <w:pStyle w:val="FootnoteText"/>
        <w:ind w:firstLine="720"/>
        <w:jc w:val="both"/>
      </w:pPr>
      <w:r w:rsidRPr="00634E18">
        <w:t>focus on the nature of the observation: here, the state that the person being observed is in.</w:t>
      </w:r>
    </w:p>
  </w:footnote>
  <w:footnote w:id="39">
    <w:p w14:paraId="4A5ED81E" w14:textId="77777777" w:rsidR="0074515F" w:rsidRDefault="00027F3B" w:rsidP="00AC13C7">
      <w:pPr>
        <w:pStyle w:val="FootnoteText"/>
        <w:jc w:val="both"/>
        <w:rPr>
          <w:i/>
        </w:rPr>
      </w:pPr>
      <w:r w:rsidRPr="00634E18">
        <w:rPr>
          <w:rStyle w:val="FootnoteReference"/>
        </w:rPr>
        <w:footnoteRef/>
      </w:r>
      <w:r w:rsidRPr="00634E18">
        <w:t xml:space="preserve"> </w:t>
      </w:r>
      <w:r w:rsidR="0074515F">
        <w:tab/>
      </w:r>
      <w:r w:rsidRPr="00634E18">
        <w:rPr>
          <w:i/>
        </w:rPr>
        <w:t xml:space="preserve">R v Bassett </w:t>
      </w:r>
      <w:r w:rsidRPr="00634E18">
        <w:t>[2008] EWCA Crim 1174 (“</w:t>
      </w:r>
      <w:r w:rsidRPr="00634E18">
        <w:rPr>
          <w:i/>
        </w:rPr>
        <w:t>R v Bassett</w:t>
      </w:r>
      <w:r w:rsidRPr="00634E18">
        <w:t xml:space="preserve">”). Similarly, the Ontario Court of Appeal in </w:t>
      </w:r>
      <w:r w:rsidRPr="00634E18">
        <w:rPr>
          <w:i/>
        </w:rPr>
        <w:t xml:space="preserve">R v </w:t>
      </w:r>
    </w:p>
    <w:p w14:paraId="0E9231C3" w14:textId="4CE00CFB" w:rsidR="00027F3B" w:rsidRPr="00634E18" w:rsidRDefault="00027F3B" w:rsidP="0074515F">
      <w:pPr>
        <w:pStyle w:val="FootnoteText"/>
        <w:ind w:left="720"/>
        <w:jc w:val="both"/>
      </w:pPr>
      <w:r w:rsidRPr="00634E18">
        <w:rPr>
          <w:i/>
        </w:rPr>
        <w:t xml:space="preserve">Jarvis </w:t>
      </w:r>
      <w:r w:rsidRPr="00634E18">
        <w:t>held that if the fact that a subject was being surreptitiously recorded without his or her consent for a sexual purpose was enough to give rise to a reasonable expectation of privacy, the privacy requirement of the offence would be redundant.</w:t>
      </w:r>
    </w:p>
  </w:footnote>
  <w:footnote w:id="40">
    <w:p w14:paraId="2C2B1FB6" w14:textId="751B5881" w:rsidR="00027F3B" w:rsidRPr="00634E18" w:rsidRDefault="00027F3B" w:rsidP="00AC13C7">
      <w:pPr>
        <w:pStyle w:val="FootnoteText"/>
        <w:jc w:val="both"/>
      </w:pPr>
      <w:r w:rsidRPr="00634E18">
        <w:rPr>
          <w:rStyle w:val="FootnoteReference"/>
        </w:rPr>
        <w:footnoteRef/>
      </w:r>
      <w:r w:rsidRPr="00634E18">
        <w:t xml:space="preserve"> </w:t>
      </w:r>
      <w:r w:rsidR="0074515F">
        <w:tab/>
      </w:r>
      <w:r w:rsidRPr="00634E18">
        <w:t>[2007] EWCA Crim 204.</w:t>
      </w:r>
    </w:p>
  </w:footnote>
  <w:footnote w:id="41">
    <w:p w14:paraId="0D6C4A50" w14:textId="095B7F47" w:rsidR="00027F3B" w:rsidRPr="00634E18" w:rsidRDefault="00027F3B" w:rsidP="00AC13C7">
      <w:pPr>
        <w:pStyle w:val="FootnoteText"/>
        <w:jc w:val="both"/>
      </w:pPr>
      <w:r w:rsidRPr="00634E18">
        <w:rPr>
          <w:rStyle w:val="FootnoteReference"/>
        </w:rPr>
        <w:footnoteRef/>
      </w:r>
      <w:r w:rsidRPr="00634E18">
        <w:t xml:space="preserve"> </w:t>
      </w:r>
      <w:r w:rsidR="0074515F">
        <w:t xml:space="preserve"> </w:t>
      </w:r>
      <w:r w:rsidR="0074515F">
        <w:tab/>
      </w:r>
      <w:r w:rsidRPr="00634E18">
        <w:t xml:space="preserve">As noted by the English Court of Appeal in </w:t>
      </w:r>
      <w:r w:rsidRPr="00634E18">
        <w:rPr>
          <w:i/>
        </w:rPr>
        <w:t xml:space="preserve">R v Bassett </w:t>
      </w:r>
      <w:r w:rsidRPr="00634E18">
        <w:t>at [9].</w:t>
      </w:r>
    </w:p>
  </w:footnote>
  <w:footnote w:id="42">
    <w:p w14:paraId="48C9E5A7" w14:textId="77777777" w:rsidR="0074515F" w:rsidRDefault="00027F3B" w:rsidP="00AC13C7">
      <w:pPr>
        <w:pStyle w:val="FootnoteText"/>
        <w:jc w:val="both"/>
      </w:pPr>
      <w:r w:rsidRPr="00634E18">
        <w:rPr>
          <w:rStyle w:val="FootnoteReference"/>
        </w:rPr>
        <w:footnoteRef/>
      </w:r>
      <w:r w:rsidRPr="00634E18">
        <w:t xml:space="preserve"> </w:t>
      </w:r>
      <w:r w:rsidR="0074515F">
        <w:tab/>
      </w:r>
      <w:r w:rsidRPr="00634E18">
        <w:rPr>
          <w:i/>
        </w:rPr>
        <w:t xml:space="preserve">R v </w:t>
      </w:r>
      <w:proofErr w:type="spellStart"/>
      <w:r w:rsidRPr="00634E18">
        <w:rPr>
          <w:i/>
        </w:rPr>
        <w:t>Lebenfish</w:t>
      </w:r>
      <w:proofErr w:type="spellEnd"/>
      <w:r w:rsidRPr="00634E18">
        <w:rPr>
          <w:i/>
        </w:rPr>
        <w:t xml:space="preserve"> </w:t>
      </w:r>
      <w:r w:rsidRPr="00634E18">
        <w:t>(2014) ONCJ 130 (“</w:t>
      </w:r>
      <w:r w:rsidRPr="00634E18">
        <w:rPr>
          <w:i/>
        </w:rPr>
        <w:t xml:space="preserve">R v </w:t>
      </w:r>
      <w:proofErr w:type="spellStart"/>
      <w:r w:rsidRPr="00634E18">
        <w:rPr>
          <w:i/>
        </w:rPr>
        <w:t>Lebenfish</w:t>
      </w:r>
      <w:proofErr w:type="spellEnd"/>
      <w:r w:rsidRPr="00634E18">
        <w:t xml:space="preserve">”) at [35]. In Canada, the term “totality of the </w:t>
      </w:r>
    </w:p>
    <w:p w14:paraId="69602E4A" w14:textId="0E46AF90" w:rsidR="00027F3B" w:rsidRPr="00634E18" w:rsidRDefault="00027F3B" w:rsidP="0074515F">
      <w:pPr>
        <w:pStyle w:val="FootnoteText"/>
        <w:ind w:left="720"/>
        <w:jc w:val="both"/>
      </w:pPr>
      <w:r w:rsidRPr="00634E18">
        <w:t xml:space="preserve">circumstances” was first used in assessing a person’s reasonable expectation of privacy in the search and seizure cases of </w:t>
      </w:r>
      <w:r w:rsidRPr="00634E18">
        <w:rPr>
          <w:i/>
        </w:rPr>
        <w:t xml:space="preserve">R v Edwards </w:t>
      </w:r>
      <w:r w:rsidRPr="00634E18">
        <w:t xml:space="preserve">[1996] 1 SCR 128 and </w:t>
      </w:r>
      <w:r w:rsidRPr="00634E18">
        <w:rPr>
          <w:i/>
        </w:rPr>
        <w:t xml:space="preserve">R v </w:t>
      </w:r>
      <w:proofErr w:type="spellStart"/>
      <w:r w:rsidRPr="00634E18">
        <w:rPr>
          <w:i/>
        </w:rPr>
        <w:t>Gomboc</w:t>
      </w:r>
      <w:proofErr w:type="spellEnd"/>
      <w:r w:rsidRPr="00634E18">
        <w:rPr>
          <w:i/>
        </w:rPr>
        <w:t xml:space="preserve"> </w:t>
      </w:r>
      <w:r w:rsidRPr="00634E18">
        <w:t>[2010] 3 SCR 211 and have been mentioned in cases of voyeurism there (</w:t>
      </w:r>
      <w:proofErr w:type="spellStart"/>
      <w:r w:rsidRPr="00634E18">
        <w:t>eg.</w:t>
      </w:r>
      <w:proofErr w:type="spellEnd"/>
      <w:r w:rsidRPr="00634E18">
        <w:t xml:space="preserve"> </w:t>
      </w:r>
      <w:r w:rsidRPr="00634E18">
        <w:rPr>
          <w:i/>
        </w:rPr>
        <w:t xml:space="preserve">R v </w:t>
      </w:r>
      <w:proofErr w:type="spellStart"/>
      <w:r w:rsidRPr="00634E18">
        <w:rPr>
          <w:i/>
        </w:rPr>
        <w:t>Lebenfish</w:t>
      </w:r>
      <w:proofErr w:type="spellEnd"/>
      <w:r w:rsidRPr="00634E18">
        <w:t>), without further elaboration on the factors to be considered in the context of voyeurism. In the search and seizure context, the relevant factors have been said to include (i) presence at the time of the search; (ii) possession or control of the property or place searched; (iii) ownership of the property or place; (iv) historical use of the property or item; (v) the ability to regulate access, including the right to admit or exclude others from the place; (vi) the existence of a subjective expectation of privacy; and (vii) the objective reasonableness of the expectation. (</w:t>
      </w:r>
      <w:r w:rsidRPr="00634E18">
        <w:rPr>
          <w:i/>
        </w:rPr>
        <w:t xml:space="preserve">R v Edwards </w:t>
      </w:r>
      <w:r w:rsidRPr="00634E18">
        <w:t xml:space="preserve">at [45]). </w:t>
      </w:r>
    </w:p>
  </w:footnote>
  <w:footnote w:id="43">
    <w:p w14:paraId="4528E4CD" w14:textId="047C164E" w:rsidR="00027F3B" w:rsidRPr="00B25272" w:rsidRDefault="00027F3B" w:rsidP="00AC13C7">
      <w:pPr>
        <w:pStyle w:val="FootnoteText"/>
        <w:jc w:val="both"/>
        <w:rPr>
          <w:sz w:val="22"/>
          <w:szCs w:val="22"/>
        </w:rPr>
      </w:pPr>
      <w:r w:rsidRPr="00634E18">
        <w:rPr>
          <w:rStyle w:val="FootnoteReference"/>
        </w:rPr>
        <w:footnoteRef/>
      </w:r>
      <w:r w:rsidRPr="00634E18">
        <w:t xml:space="preserve"> </w:t>
      </w:r>
      <w:r w:rsidR="0074515F">
        <w:tab/>
      </w:r>
      <w:r w:rsidRPr="00634E18">
        <w:t xml:space="preserve">As in </w:t>
      </w:r>
      <w:r w:rsidRPr="00634E18">
        <w:rPr>
          <w:i/>
        </w:rPr>
        <w:t xml:space="preserve">R v </w:t>
      </w:r>
      <w:proofErr w:type="spellStart"/>
      <w:r w:rsidRPr="00634E18">
        <w:rPr>
          <w:i/>
        </w:rPr>
        <w:t>Rudiger</w:t>
      </w:r>
      <w:proofErr w:type="spellEnd"/>
      <w:r w:rsidRPr="00634E18">
        <w:t>, where a reasonable expectation of privacy from such enhanced observation was found.</w:t>
      </w:r>
      <w:r w:rsidRPr="00B25272">
        <w:rPr>
          <w:sz w:val="22"/>
          <w:szCs w:val="22"/>
        </w:rPr>
        <w:t xml:space="preserve"> </w:t>
      </w:r>
    </w:p>
  </w:footnote>
  <w:footnote w:id="44">
    <w:p w14:paraId="7E1FBF71" w14:textId="77777777" w:rsidR="0074515F" w:rsidRDefault="00027F3B" w:rsidP="00AC13C7">
      <w:pPr>
        <w:pStyle w:val="FootnoteText"/>
        <w:jc w:val="both"/>
      </w:pPr>
      <w:r w:rsidRPr="00634E18">
        <w:rPr>
          <w:rStyle w:val="FootnoteReference"/>
        </w:rPr>
        <w:footnoteRef/>
      </w:r>
      <w:r w:rsidRPr="00634E18">
        <w:t xml:space="preserve"> </w:t>
      </w:r>
      <w:r w:rsidR="0074515F">
        <w:t xml:space="preserve"> </w:t>
      </w:r>
      <w:r w:rsidR="0074515F">
        <w:tab/>
      </w:r>
      <w:r w:rsidRPr="00634E18">
        <w:t xml:space="preserve">According to the Ontario Court of Appeal in </w:t>
      </w:r>
      <w:r w:rsidRPr="00634E18">
        <w:rPr>
          <w:i/>
        </w:rPr>
        <w:t>R v Jarvis</w:t>
      </w:r>
      <w:r w:rsidRPr="00634E18">
        <w:t xml:space="preserve">, to grant that a person has a reasonable expectation </w:t>
      </w:r>
    </w:p>
    <w:p w14:paraId="5F745ACC" w14:textId="3381301E" w:rsidR="00027F3B" w:rsidRPr="00634E18" w:rsidRDefault="00027F3B" w:rsidP="0074515F">
      <w:pPr>
        <w:pStyle w:val="FootnoteText"/>
        <w:ind w:left="720"/>
        <w:jc w:val="both"/>
      </w:pPr>
      <w:r w:rsidRPr="00634E18">
        <w:t xml:space="preserve">of privacy in a situation “is to conclude that his or her interest in privacy </w:t>
      </w:r>
      <w:r w:rsidRPr="00634E18">
        <w:rPr>
          <w:i/>
        </w:rPr>
        <w:t xml:space="preserve">should </w:t>
      </w:r>
      <w:r w:rsidRPr="00634E18">
        <w:t>be prioritized over other interests.” Thus the question of whether a person has a reasonable expectation of privacy is said to be a normative rather than descriptive one: “concerned with identifying a person’s legitimate interests and determining whether they should be given priority over competing interests.” (at [117]).</w:t>
      </w:r>
    </w:p>
  </w:footnote>
  <w:footnote w:id="45">
    <w:p w14:paraId="5875B5E4" w14:textId="77777777" w:rsidR="0074515F" w:rsidRDefault="00027F3B" w:rsidP="00AC13C7">
      <w:pPr>
        <w:pStyle w:val="FootnoteText"/>
        <w:jc w:val="both"/>
        <w:rPr>
          <w:i/>
        </w:rPr>
      </w:pPr>
      <w:r w:rsidRPr="00634E18">
        <w:rPr>
          <w:rStyle w:val="FootnoteReference"/>
        </w:rPr>
        <w:footnoteRef/>
      </w:r>
      <w:r w:rsidRPr="00634E18">
        <w:t xml:space="preserve"> </w:t>
      </w:r>
      <w:r w:rsidR="0074515F">
        <w:tab/>
      </w:r>
      <w:r w:rsidRPr="00634E18">
        <w:t xml:space="preserve">Such as in </w:t>
      </w:r>
      <w:r w:rsidRPr="00634E18">
        <w:rPr>
          <w:i/>
        </w:rPr>
        <w:t xml:space="preserve">Campbell v MGN Ltd </w:t>
      </w:r>
      <w:r w:rsidRPr="00634E18">
        <w:t>[2003] QB 633 and ECtHR 24 June 2004, Appl. 59320/00 (</w:t>
      </w:r>
      <w:r w:rsidRPr="00634E18">
        <w:rPr>
          <w:i/>
        </w:rPr>
        <w:t xml:space="preserve">Caroline </w:t>
      </w:r>
    </w:p>
    <w:p w14:paraId="461C3319" w14:textId="5FE467F9" w:rsidR="00027F3B" w:rsidRPr="00634E18" w:rsidRDefault="00027F3B" w:rsidP="0074515F">
      <w:pPr>
        <w:pStyle w:val="FootnoteText"/>
        <w:ind w:firstLine="720"/>
        <w:jc w:val="both"/>
      </w:pPr>
      <w:r w:rsidRPr="00634E18">
        <w:rPr>
          <w:i/>
        </w:rPr>
        <w:t>von Hannover v Germany</w:t>
      </w:r>
      <w:r w:rsidRPr="00634E18">
        <w:t>).</w:t>
      </w:r>
    </w:p>
  </w:footnote>
  <w:footnote w:id="46">
    <w:p w14:paraId="1F83E480" w14:textId="36CFBE06" w:rsidR="00027F3B" w:rsidRPr="00634E18" w:rsidRDefault="00027F3B" w:rsidP="00AC13C7">
      <w:pPr>
        <w:pStyle w:val="FootnoteText"/>
        <w:jc w:val="both"/>
      </w:pPr>
      <w:r w:rsidRPr="00634E18">
        <w:rPr>
          <w:rStyle w:val="FootnoteReference"/>
        </w:rPr>
        <w:footnoteRef/>
      </w:r>
      <w:r w:rsidRPr="00634E18">
        <w:t xml:space="preserve"> </w:t>
      </w:r>
      <w:r w:rsidR="0074515F">
        <w:tab/>
      </w:r>
      <w:r w:rsidRPr="00634E18">
        <w:t xml:space="preserve">As first articulated by the United States Supreme Court in </w:t>
      </w:r>
      <w:r w:rsidRPr="00634E18">
        <w:rPr>
          <w:i/>
        </w:rPr>
        <w:t xml:space="preserve">Katz v United States </w:t>
      </w:r>
      <w:r w:rsidRPr="00634E18">
        <w:t>389 U.S. 347 (1967).</w:t>
      </w:r>
    </w:p>
  </w:footnote>
  <w:footnote w:id="47">
    <w:p w14:paraId="6746ACAA" w14:textId="77777777" w:rsidR="0074515F" w:rsidRDefault="00027F3B" w:rsidP="00AC13C7">
      <w:pPr>
        <w:pStyle w:val="FootnoteText"/>
        <w:jc w:val="both"/>
        <w:rPr>
          <w:i/>
        </w:rPr>
      </w:pPr>
      <w:r w:rsidRPr="00634E18">
        <w:rPr>
          <w:rStyle w:val="FootnoteReference"/>
        </w:rPr>
        <w:footnoteRef/>
      </w:r>
      <w:r w:rsidRPr="00634E18">
        <w:t xml:space="preserve"> </w:t>
      </w:r>
      <w:r w:rsidR="0074515F">
        <w:t xml:space="preserve"> </w:t>
      </w:r>
      <w:r w:rsidR="0074515F">
        <w:tab/>
      </w:r>
      <w:r w:rsidRPr="00634E18">
        <w:t xml:space="preserve">And “whether the facts in issue are indeed ‘private’”: Raymond </w:t>
      </w:r>
      <w:proofErr w:type="spellStart"/>
      <w:r w:rsidRPr="00634E18">
        <w:t>Wacks</w:t>
      </w:r>
      <w:proofErr w:type="spellEnd"/>
      <w:r w:rsidRPr="00634E18">
        <w:t xml:space="preserve">, </w:t>
      </w:r>
      <w:r w:rsidRPr="00634E18">
        <w:rPr>
          <w:i/>
        </w:rPr>
        <w:t xml:space="preserve">Privacy and Media Freedom </w:t>
      </w:r>
    </w:p>
    <w:p w14:paraId="70CD78EF" w14:textId="25CB4F65" w:rsidR="00027F3B" w:rsidRPr="00634E18" w:rsidRDefault="00027F3B" w:rsidP="0074515F">
      <w:pPr>
        <w:pStyle w:val="FootnoteText"/>
        <w:ind w:left="720"/>
        <w:jc w:val="both"/>
      </w:pPr>
      <w:r w:rsidRPr="00634E18">
        <w:t xml:space="preserve">(Oxford University Press, 2013) </w:t>
      </w:r>
      <w:proofErr w:type="spellStart"/>
      <w:r w:rsidRPr="00634E18">
        <w:t>ch</w:t>
      </w:r>
      <w:proofErr w:type="spellEnd"/>
      <w:r w:rsidRPr="00634E18">
        <w:t xml:space="preserve"> 6 at p</w:t>
      </w:r>
      <w:r w:rsidR="000A1E19">
        <w:t> </w:t>
      </w:r>
      <w:r w:rsidRPr="00634E18">
        <w:t>174-175. There would further be the issue of balancing, at least in the European context, the right to respect for private life and right to freedom of expression, as respectively enshrined in Arts 8 and 10 of the European Convention on Human Rights.</w:t>
      </w:r>
    </w:p>
  </w:footnote>
  <w:footnote w:id="48">
    <w:p w14:paraId="473C4347" w14:textId="77777777" w:rsidR="0074515F" w:rsidRDefault="00027F3B" w:rsidP="00AC13C7">
      <w:pPr>
        <w:pStyle w:val="FootnoteText"/>
        <w:jc w:val="both"/>
      </w:pPr>
      <w:r w:rsidRPr="00634E18">
        <w:rPr>
          <w:rStyle w:val="FootnoteReference"/>
        </w:rPr>
        <w:footnoteRef/>
      </w:r>
      <w:r w:rsidRPr="00634E18">
        <w:t xml:space="preserve"> </w:t>
      </w:r>
      <w:r w:rsidR="0074515F">
        <w:tab/>
      </w:r>
      <w:r w:rsidRPr="00634E18">
        <w:t xml:space="preserve">As pointed out by the British Columbia Supreme Court </w:t>
      </w:r>
      <w:r w:rsidRPr="00634E18">
        <w:rPr>
          <w:i/>
        </w:rPr>
        <w:t xml:space="preserve">R v </w:t>
      </w:r>
      <w:proofErr w:type="spellStart"/>
      <w:r w:rsidRPr="00634E18">
        <w:rPr>
          <w:i/>
        </w:rPr>
        <w:t>Rudiger</w:t>
      </w:r>
      <w:proofErr w:type="spellEnd"/>
      <w:r w:rsidRPr="00634E18">
        <w:t xml:space="preserve">: “the expectation of privacy under </w:t>
      </w:r>
    </w:p>
    <w:p w14:paraId="0B7A29CC" w14:textId="424AB631" w:rsidR="00027F3B" w:rsidRPr="00634E18" w:rsidRDefault="00027F3B" w:rsidP="0074515F">
      <w:pPr>
        <w:pStyle w:val="FootnoteText"/>
        <w:ind w:firstLine="720"/>
        <w:jc w:val="both"/>
      </w:pPr>
      <w:r w:rsidRPr="00634E18">
        <w:t>(the voyeurism offence) relates not to the accused but to a complainant</w:t>
      </w:r>
      <w:r w:rsidRPr="00634E18">
        <w:rPr>
          <w:i/>
        </w:rPr>
        <w:t xml:space="preserve"> </w:t>
      </w:r>
      <w:r w:rsidRPr="00634E18">
        <w:t>(at [85]).</w:t>
      </w:r>
    </w:p>
  </w:footnote>
  <w:footnote w:id="49">
    <w:p w14:paraId="0C8F385A" w14:textId="77777777" w:rsidR="0074515F" w:rsidRDefault="00FD1569">
      <w:pPr>
        <w:pStyle w:val="FootnoteText"/>
      </w:pPr>
      <w:r>
        <w:rPr>
          <w:rStyle w:val="FootnoteReference"/>
        </w:rPr>
        <w:footnoteRef/>
      </w:r>
      <w:r>
        <w:t xml:space="preserve"> </w:t>
      </w:r>
      <w:r w:rsidR="0074515F">
        <w:tab/>
      </w:r>
      <w:r w:rsidR="00DB2847">
        <w:t xml:space="preserve">Voyeurs may have acted on impulse, such as under the influence of alcohol or peer pressure; or may </w:t>
      </w:r>
    </w:p>
    <w:p w14:paraId="2E13D57F" w14:textId="56F4E8AE" w:rsidR="00FD1569" w:rsidRDefault="00DB2847" w:rsidP="0074515F">
      <w:pPr>
        <w:pStyle w:val="FootnoteText"/>
        <w:ind w:left="720"/>
      </w:pPr>
      <w:r>
        <w:t xml:space="preserve">have an “antisocial personality disorder” which makes them disregard the rights of others; or may have </w:t>
      </w:r>
      <w:r w:rsidR="00D211D1">
        <w:t>Compulsive Sexual Behaviour Disorder</w:t>
      </w:r>
      <w:r>
        <w:t xml:space="preserve"> (CBSD)</w:t>
      </w:r>
      <w:r w:rsidR="00020D9B">
        <w:t xml:space="preserve"> (Shabana Begum, “Some Peeping Tom cases may be due to sex addiction disorders, say experts” </w:t>
      </w:r>
      <w:r w:rsidR="00020D9B">
        <w:rPr>
          <w:i/>
        </w:rPr>
        <w:t>The Straits Times</w:t>
      </w:r>
      <w:r w:rsidR="00020D9B">
        <w:t xml:space="preserve"> (20 May 2019) </w:t>
      </w:r>
      <w:r w:rsidR="00046758">
        <w:t>&lt;</w:t>
      </w:r>
      <w:hyperlink r:id="rId16" w:history="1">
        <w:r w:rsidR="00046758" w:rsidRPr="00046758">
          <w:rPr>
            <w:rStyle w:val="Hyperlink"/>
          </w:rPr>
          <w:t>https://www.straitstimes.com/singapore/what-makes-people-peep</w:t>
        </w:r>
      </w:hyperlink>
      <w:r w:rsidR="00020D9B">
        <w:t>&gt;</w:t>
      </w:r>
      <w:r w:rsidR="00046758">
        <w:t>).</w:t>
      </w:r>
      <w:r w:rsidR="00020D9B">
        <w:t xml:space="preserve"> CBSD, which was officially recognised as a mental disorder by the World Health Organisation in 2018,</w:t>
      </w:r>
      <w:r>
        <w:t xml:space="preserve"> is “characterised by a persistent pattern of failure to control intense, repetitive sexual impulses or urges resulting in repetitive sexual behaviour.” (World Health Organisation, </w:t>
      </w:r>
      <w:r>
        <w:rPr>
          <w:i/>
        </w:rPr>
        <w:t>ICD-11 for Mortality and Morbidity Statistics</w:t>
      </w:r>
      <w:r>
        <w:t>, “6C72 Compulsive sexual behaviour disorder”</w:t>
      </w:r>
      <w:r>
        <w:rPr>
          <w:i/>
        </w:rPr>
        <w:t xml:space="preserve"> </w:t>
      </w:r>
      <w:r>
        <w:t>&lt;</w:t>
      </w:r>
      <w:hyperlink r:id="rId17" w:anchor="/http://id.who.int/icd/entity/1630268048" w:history="1">
        <w:r w:rsidRPr="00DB2847">
          <w:rPr>
            <w:rStyle w:val="Hyperlink"/>
          </w:rPr>
          <w:t>https://icd.who.int/browse11/l-m/en#/http://id.who.int/icd/entity/1630268048</w:t>
        </w:r>
      </w:hyperlink>
      <w:r>
        <w:t>&gt; (</w:t>
      </w:r>
      <w:r w:rsidR="00046758">
        <w:t xml:space="preserve">both </w:t>
      </w:r>
      <w:r>
        <w:t>accessed 27 December 2019).</w:t>
      </w:r>
    </w:p>
  </w:footnote>
  <w:footnote w:id="50">
    <w:p w14:paraId="035EBD6C" w14:textId="77777777" w:rsidR="0074515F" w:rsidRDefault="00027F3B">
      <w:pPr>
        <w:pStyle w:val="FootnoteText"/>
      </w:pPr>
      <w:r w:rsidRPr="00634E18">
        <w:rPr>
          <w:rStyle w:val="FootnoteReference"/>
        </w:rPr>
        <w:footnoteRef/>
      </w:r>
      <w:r w:rsidRPr="00634E18">
        <w:t xml:space="preserve"> </w:t>
      </w:r>
      <w:r w:rsidR="0074515F">
        <w:t xml:space="preserve"> </w:t>
      </w:r>
      <w:r w:rsidR="0074515F">
        <w:tab/>
      </w:r>
      <w:r w:rsidRPr="00634E18">
        <w:t xml:space="preserve">As stated by the Court of Appeal in </w:t>
      </w:r>
      <w:r w:rsidRPr="00634E18">
        <w:rPr>
          <w:i/>
        </w:rPr>
        <w:t xml:space="preserve">Lim </w:t>
      </w:r>
      <w:proofErr w:type="spellStart"/>
      <w:r w:rsidRPr="00634E18">
        <w:rPr>
          <w:i/>
        </w:rPr>
        <w:t>Ghim</w:t>
      </w:r>
      <w:proofErr w:type="spellEnd"/>
      <w:r w:rsidRPr="00634E18">
        <w:rPr>
          <w:i/>
        </w:rPr>
        <w:t xml:space="preserve"> Peow v PP</w:t>
      </w:r>
      <w:r w:rsidRPr="00634E18">
        <w:t xml:space="preserve"> [2014] 4 SLR 1287 at [26]. Further, the High </w:t>
      </w:r>
    </w:p>
    <w:p w14:paraId="69897C88" w14:textId="510CB892" w:rsidR="00027F3B" w:rsidRPr="00634E18" w:rsidRDefault="00027F3B" w:rsidP="0074515F">
      <w:pPr>
        <w:pStyle w:val="FootnoteText"/>
        <w:ind w:left="720"/>
      </w:pPr>
      <w:r w:rsidRPr="00634E18">
        <w:t xml:space="preserve">Court in </w:t>
      </w:r>
      <w:r w:rsidRPr="00634E18">
        <w:rPr>
          <w:i/>
        </w:rPr>
        <w:t xml:space="preserve">PP v Chong Hou En </w:t>
      </w:r>
      <w:r w:rsidRPr="00634E18">
        <w:t>[2015] 3 SLR 222 distilled the following principles: (i) general deterrence may be accorded full weight where the mental disorder is not serious or is not causally related to the commission of the offence, and the offence is serious; (ii) despite the existence of a mental disorder, specific deterrence may remain relevant where the offence is premediated or where there is a conscious choice to commit the offence; (iii) where a serious psychiatric condition renders deterrence less effective, rehabilitation may take precedence; however, (iv) in cases involving particularly heinous crimes, the retributive and protective principles of sentencing should prevail over</w:t>
      </w:r>
      <w:r w:rsidRPr="00171477">
        <w:rPr>
          <w:sz w:val="22"/>
          <w:szCs w:val="22"/>
        </w:rPr>
        <w:t xml:space="preserve"> </w:t>
      </w:r>
      <w:r w:rsidRPr="00634E18">
        <w:t xml:space="preserve">the principle of rehabilitation (at [24]); these observations were endorsed by the Court of Appeal in </w:t>
      </w:r>
      <w:r w:rsidRPr="00634E18">
        <w:rPr>
          <w:i/>
        </w:rPr>
        <w:t>PP</w:t>
      </w:r>
      <w:r w:rsidR="000A1E19">
        <w:rPr>
          <w:i/>
        </w:rPr>
        <w:t> </w:t>
      </w:r>
      <w:r w:rsidRPr="00634E18">
        <w:rPr>
          <w:i/>
        </w:rPr>
        <w:t xml:space="preserve">v Kong Peng Yee </w:t>
      </w:r>
      <w:r w:rsidRPr="00634E18">
        <w:t>[2018] 2 SLR 295.</w:t>
      </w:r>
    </w:p>
  </w:footnote>
  <w:footnote w:id="51">
    <w:p w14:paraId="393852FC" w14:textId="649587D0" w:rsidR="00027F3B" w:rsidRPr="00634E18" w:rsidRDefault="00027F3B">
      <w:pPr>
        <w:pStyle w:val="FootnoteText"/>
      </w:pPr>
      <w:r w:rsidRPr="00634E18">
        <w:rPr>
          <w:rStyle w:val="FootnoteReference"/>
        </w:rPr>
        <w:footnoteRef/>
      </w:r>
      <w:r w:rsidRPr="00634E18">
        <w:t xml:space="preserve"> </w:t>
      </w:r>
      <w:r w:rsidR="0074515F">
        <w:tab/>
      </w:r>
      <w:r w:rsidRPr="00634E18">
        <w:t>[2015] 3 SLR 222 at [26]-[27].</w:t>
      </w:r>
    </w:p>
  </w:footnote>
  <w:footnote w:id="52">
    <w:p w14:paraId="08E62DA1" w14:textId="57881D83" w:rsidR="00027F3B" w:rsidRPr="00634E18" w:rsidRDefault="00027F3B">
      <w:pPr>
        <w:pStyle w:val="FootnoteText"/>
      </w:pPr>
      <w:r w:rsidRPr="00634E18">
        <w:rPr>
          <w:rStyle w:val="FootnoteReference"/>
        </w:rPr>
        <w:footnoteRef/>
      </w:r>
      <w:r w:rsidRPr="00634E18">
        <w:t xml:space="preserve"> </w:t>
      </w:r>
      <w:r w:rsidR="0074515F">
        <w:tab/>
      </w:r>
      <w:r w:rsidRPr="00634E18">
        <w:t>[2015] 3 SLR 222 at [29].</w:t>
      </w:r>
    </w:p>
  </w:footnote>
  <w:footnote w:id="53">
    <w:p w14:paraId="2AA7E2F6" w14:textId="1BE11A76" w:rsidR="00027F3B" w:rsidRPr="006C11A4" w:rsidRDefault="00027F3B" w:rsidP="00EA565B">
      <w:pPr>
        <w:pStyle w:val="FootnoteText"/>
        <w:jc w:val="both"/>
        <w:rPr>
          <w:sz w:val="22"/>
          <w:szCs w:val="22"/>
        </w:rPr>
      </w:pPr>
      <w:r w:rsidRPr="00634E18">
        <w:rPr>
          <w:rStyle w:val="FootnoteReference"/>
        </w:rPr>
        <w:footnoteRef/>
      </w:r>
      <w:r w:rsidRPr="00634E18">
        <w:t xml:space="preserve"> </w:t>
      </w:r>
      <w:r w:rsidR="0074515F">
        <w:tab/>
      </w:r>
      <w:r w:rsidRPr="00634E18">
        <w:t>[2015] 3 SLR 222</w:t>
      </w:r>
      <w:r w:rsidRPr="00634E18">
        <w:rPr>
          <w:i/>
        </w:rPr>
        <w:t xml:space="preserve"> </w:t>
      </w:r>
      <w:r w:rsidRPr="00634E18">
        <w:t>at [64].</w:t>
      </w:r>
    </w:p>
  </w:footnote>
  <w:footnote w:id="54">
    <w:p w14:paraId="7441A96C" w14:textId="25C0DB9D" w:rsidR="00027F3B" w:rsidRPr="00634E18" w:rsidRDefault="00027F3B">
      <w:pPr>
        <w:pStyle w:val="FootnoteText"/>
      </w:pPr>
      <w:r w:rsidRPr="00634E18">
        <w:rPr>
          <w:rStyle w:val="FootnoteReference"/>
        </w:rPr>
        <w:footnoteRef/>
      </w:r>
      <w:r w:rsidRPr="00634E18">
        <w:t xml:space="preserve"> </w:t>
      </w:r>
      <w:r w:rsidR="0074515F">
        <w:tab/>
      </w:r>
      <w:r w:rsidRPr="00634E18">
        <w:t>[2015] 3 SLR 222</w:t>
      </w:r>
      <w:r w:rsidRPr="00634E18">
        <w:rPr>
          <w:i/>
        </w:rPr>
        <w:t xml:space="preserve"> </w:t>
      </w:r>
      <w:r w:rsidRPr="00634E18">
        <w:t>at [65]-[66].</w:t>
      </w:r>
    </w:p>
  </w:footnote>
  <w:footnote w:id="55">
    <w:p w14:paraId="2774F446" w14:textId="72B5D918" w:rsidR="00027F3B" w:rsidRPr="00634E18" w:rsidRDefault="00027F3B">
      <w:pPr>
        <w:pStyle w:val="FootnoteText"/>
        <w:rPr>
          <w:i/>
        </w:rPr>
      </w:pPr>
      <w:r w:rsidRPr="00634E18">
        <w:rPr>
          <w:rStyle w:val="FootnoteReference"/>
        </w:rPr>
        <w:footnoteRef/>
      </w:r>
      <w:r w:rsidRPr="00634E18">
        <w:t xml:space="preserve"> </w:t>
      </w:r>
      <w:r w:rsidR="0074515F">
        <w:tab/>
      </w:r>
      <w:r w:rsidRPr="00634E18">
        <w:t>[2015] 3 SLR 222</w:t>
      </w:r>
      <w:r w:rsidRPr="00634E18">
        <w:rPr>
          <w:i/>
        </w:rPr>
        <w:t xml:space="preserve"> </w:t>
      </w:r>
      <w:r w:rsidRPr="00634E18">
        <w:t>at [67].</w:t>
      </w:r>
    </w:p>
  </w:footnote>
  <w:footnote w:id="56">
    <w:p w14:paraId="4FFB700E" w14:textId="45565D5D" w:rsidR="00027F3B" w:rsidRPr="00634E18" w:rsidRDefault="00027F3B" w:rsidP="00634E18">
      <w:pPr>
        <w:pStyle w:val="FootnoteText"/>
        <w:jc w:val="both"/>
      </w:pPr>
      <w:r w:rsidRPr="00634E18">
        <w:rPr>
          <w:rStyle w:val="FootnoteReference"/>
        </w:rPr>
        <w:footnoteRef/>
      </w:r>
      <w:r w:rsidRPr="00634E18">
        <w:t xml:space="preserve"> </w:t>
      </w:r>
      <w:r w:rsidR="0074515F">
        <w:tab/>
      </w:r>
      <w:r w:rsidRPr="00634E18">
        <w:t>[2018] 2 SLR 295 at [60] &amp; [65].</w:t>
      </w:r>
    </w:p>
  </w:footnote>
  <w:footnote w:id="57">
    <w:p w14:paraId="235CB43B" w14:textId="77777777" w:rsidR="0074515F" w:rsidRDefault="00027F3B" w:rsidP="0074515F">
      <w:pPr>
        <w:pStyle w:val="FootnoteText"/>
        <w:jc w:val="both"/>
      </w:pPr>
      <w:r w:rsidRPr="00634E18">
        <w:rPr>
          <w:rStyle w:val="FootnoteReference"/>
        </w:rPr>
        <w:footnoteRef/>
      </w:r>
      <w:r w:rsidRPr="00634E18">
        <w:t xml:space="preserve"> </w:t>
      </w:r>
      <w:r w:rsidR="0074515F">
        <w:t xml:space="preserve"> </w:t>
      </w:r>
      <w:r w:rsidR="0074515F">
        <w:tab/>
      </w:r>
      <w:r w:rsidRPr="00634E18">
        <w:t xml:space="preserve">Dr Julia Lam, “Fifty Shades of Sexual Offending – Part I” </w:t>
      </w:r>
      <w:r w:rsidRPr="00634E18">
        <w:rPr>
          <w:i/>
        </w:rPr>
        <w:t xml:space="preserve">Singapore Law Gazette </w:t>
      </w:r>
      <w:r w:rsidRPr="00634E18">
        <w:t xml:space="preserve">(July 2017) </w:t>
      </w:r>
    </w:p>
    <w:p w14:paraId="5D5BE675" w14:textId="63ED582D" w:rsidR="00027F3B" w:rsidRPr="006C11A4" w:rsidRDefault="00027F3B" w:rsidP="0074515F">
      <w:pPr>
        <w:pStyle w:val="FootnoteText"/>
        <w:ind w:left="720"/>
        <w:jc w:val="both"/>
        <w:rPr>
          <w:sz w:val="21"/>
          <w:szCs w:val="21"/>
        </w:rPr>
      </w:pPr>
      <w:r w:rsidRPr="00634E18">
        <w:t>&lt;</w:t>
      </w:r>
      <w:hyperlink r:id="rId18" w:history="1">
        <w:r w:rsidRPr="00634E18">
          <w:rPr>
            <w:rStyle w:val="Hyperlink"/>
          </w:rPr>
          <w:t>https://www.lawsociety.org.sg/portals/0/Media%20Centre/Law%20Gazette/pdf/SLG_JUL_2017.pdf</w:t>
        </w:r>
      </w:hyperlink>
      <w:r>
        <w:t>&gt; (Accessed on 6 July 2019).</w:t>
      </w:r>
      <w:r w:rsidRPr="00634E18">
        <w:t xml:space="preserve"> </w:t>
      </w:r>
    </w:p>
  </w:footnote>
  <w:footnote w:id="58">
    <w:p w14:paraId="3B700859" w14:textId="7011A04A" w:rsidR="00027F3B" w:rsidRDefault="00027F3B">
      <w:pPr>
        <w:pStyle w:val="FootnoteText"/>
      </w:pPr>
      <w:r>
        <w:rPr>
          <w:rStyle w:val="FootnoteReference"/>
        </w:rPr>
        <w:footnoteRef/>
      </w:r>
      <w:r>
        <w:t xml:space="preserve"> </w:t>
      </w:r>
      <w:r w:rsidR="0074515F">
        <w:tab/>
      </w:r>
      <w:r w:rsidR="001E44DC">
        <w:t xml:space="preserve">Penal Code, </w:t>
      </w:r>
      <w:r w:rsidRPr="004A3013">
        <w:t>s</w:t>
      </w:r>
      <w:r w:rsidR="000A1E19">
        <w:t> </w:t>
      </w:r>
      <w:r w:rsidRPr="004A3013">
        <w:t>377C(3)(f).</w:t>
      </w:r>
    </w:p>
  </w:footnote>
  <w:footnote w:id="59">
    <w:p w14:paraId="6CAADB0F" w14:textId="43A22C9F" w:rsidR="00027F3B" w:rsidRDefault="00027F3B">
      <w:pPr>
        <w:pStyle w:val="FootnoteText"/>
      </w:pPr>
      <w:r>
        <w:rPr>
          <w:rStyle w:val="FootnoteReference"/>
        </w:rPr>
        <w:footnoteRef/>
      </w:r>
      <w:r>
        <w:t xml:space="preserve"> </w:t>
      </w:r>
      <w:r w:rsidR="0074515F">
        <w:tab/>
      </w:r>
      <w:r w:rsidRPr="00544E8F">
        <w:t>[2015] 3 SLR 222</w:t>
      </w:r>
      <w:r w:rsidRPr="00544E8F">
        <w:rPr>
          <w:i/>
        </w:rPr>
        <w:t xml:space="preserve"> </w:t>
      </w:r>
      <w:r w:rsidRPr="00544E8F">
        <w:t>at [6</w:t>
      </w:r>
      <w:r>
        <w:t>1].</w:t>
      </w:r>
    </w:p>
  </w:footnote>
  <w:footnote w:id="60">
    <w:p w14:paraId="1EA6C042" w14:textId="3B5D28C6" w:rsidR="00027F3B" w:rsidRDefault="00027F3B">
      <w:pPr>
        <w:pStyle w:val="FootnoteText"/>
      </w:pPr>
      <w:r>
        <w:rPr>
          <w:rStyle w:val="FootnoteReference"/>
        </w:rPr>
        <w:footnoteRef/>
      </w:r>
      <w:r w:rsidR="0074515F">
        <w:t xml:space="preserve"> </w:t>
      </w:r>
      <w:r w:rsidR="0074515F">
        <w:tab/>
      </w:r>
      <w:r w:rsidRPr="00E75EBE">
        <w:t>[2015] 3 SLR 222</w:t>
      </w:r>
      <w:r w:rsidRPr="00E75EBE">
        <w:rPr>
          <w:i/>
        </w:rPr>
        <w:t xml:space="preserve"> </w:t>
      </w:r>
      <w:r w:rsidRPr="00E75EBE">
        <w:t>at [</w:t>
      </w:r>
      <w: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AA3E" w14:textId="77777777" w:rsidR="00027F3B" w:rsidRDefault="00027F3B" w:rsidP="006F43E3">
    <w:pPr>
      <w:pStyle w:val="Header"/>
      <w:ind w:left="107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A280" w14:textId="77777777" w:rsidR="00027F3B" w:rsidRDefault="00027F3B" w:rsidP="006F43E3">
    <w:pPr>
      <w:pStyle w:val="Header"/>
      <w:ind w:left="10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08D"/>
    <w:multiLevelType w:val="multilevel"/>
    <w:tmpl w:val="9ECC75E4"/>
    <w:lvl w:ilvl="0">
      <w:start w:val="1"/>
      <w:numFmt w:val="lowerLetter"/>
      <w:lvlText w:val="(%1)"/>
      <w:lvlJc w:val="left"/>
      <w:pPr>
        <w:ind w:left="720" w:hanging="72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74817"/>
    <w:multiLevelType w:val="multilevel"/>
    <w:tmpl w:val="A26448C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6B5854"/>
    <w:multiLevelType w:val="multilevel"/>
    <w:tmpl w:val="0A54B4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1476C"/>
    <w:multiLevelType w:val="multilevel"/>
    <w:tmpl w:val="0A54B4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335C4"/>
    <w:multiLevelType w:val="hybridMultilevel"/>
    <w:tmpl w:val="0A54B4CE"/>
    <w:lvl w:ilvl="0" w:tplc="803058E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5F003F2"/>
    <w:multiLevelType w:val="multilevel"/>
    <w:tmpl w:val="0A54B4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4D342A"/>
    <w:multiLevelType w:val="hybridMultilevel"/>
    <w:tmpl w:val="E96C855C"/>
    <w:lvl w:ilvl="0" w:tplc="B2F845B2">
      <w:start w:val="1"/>
      <w:numFmt w:val="decimal"/>
      <w:pStyle w:val="Heading3"/>
      <w:lvlText w:val="(%1)"/>
      <w:lvlJc w:val="left"/>
      <w:pPr>
        <w:ind w:left="717" w:hanging="360"/>
      </w:pPr>
      <w:rPr>
        <w:rFonts w:hint="default"/>
      </w:rPr>
    </w:lvl>
    <w:lvl w:ilvl="1" w:tplc="48090019" w:tentative="1">
      <w:start w:val="1"/>
      <w:numFmt w:val="lowerLetter"/>
      <w:lvlText w:val="%2."/>
      <w:lvlJc w:val="left"/>
      <w:pPr>
        <w:ind w:left="1437" w:hanging="360"/>
      </w:pPr>
    </w:lvl>
    <w:lvl w:ilvl="2" w:tplc="4809001B" w:tentative="1">
      <w:start w:val="1"/>
      <w:numFmt w:val="lowerRoman"/>
      <w:lvlText w:val="%3."/>
      <w:lvlJc w:val="right"/>
      <w:pPr>
        <w:ind w:left="2157" w:hanging="180"/>
      </w:pPr>
    </w:lvl>
    <w:lvl w:ilvl="3" w:tplc="4809000F" w:tentative="1">
      <w:start w:val="1"/>
      <w:numFmt w:val="decimal"/>
      <w:lvlText w:val="%4."/>
      <w:lvlJc w:val="left"/>
      <w:pPr>
        <w:ind w:left="2877" w:hanging="360"/>
      </w:pPr>
    </w:lvl>
    <w:lvl w:ilvl="4" w:tplc="48090019" w:tentative="1">
      <w:start w:val="1"/>
      <w:numFmt w:val="lowerLetter"/>
      <w:lvlText w:val="%5."/>
      <w:lvlJc w:val="left"/>
      <w:pPr>
        <w:ind w:left="3597" w:hanging="360"/>
      </w:pPr>
    </w:lvl>
    <w:lvl w:ilvl="5" w:tplc="4809001B" w:tentative="1">
      <w:start w:val="1"/>
      <w:numFmt w:val="lowerRoman"/>
      <w:lvlText w:val="%6."/>
      <w:lvlJc w:val="right"/>
      <w:pPr>
        <w:ind w:left="4317" w:hanging="180"/>
      </w:pPr>
    </w:lvl>
    <w:lvl w:ilvl="6" w:tplc="4809000F" w:tentative="1">
      <w:start w:val="1"/>
      <w:numFmt w:val="decimal"/>
      <w:lvlText w:val="%7."/>
      <w:lvlJc w:val="left"/>
      <w:pPr>
        <w:ind w:left="5037" w:hanging="360"/>
      </w:pPr>
    </w:lvl>
    <w:lvl w:ilvl="7" w:tplc="48090019" w:tentative="1">
      <w:start w:val="1"/>
      <w:numFmt w:val="lowerLetter"/>
      <w:lvlText w:val="%8."/>
      <w:lvlJc w:val="left"/>
      <w:pPr>
        <w:ind w:left="5757" w:hanging="360"/>
      </w:pPr>
    </w:lvl>
    <w:lvl w:ilvl="8" w:tplc="4809001B" w:tentative="1">
      <w:start w:val="1"/>
      <w:numFmt w:val="lowerRoman"/>
      <w:lvlText w:val="%9."/>
      <w:lvlJc w:val="right"/>
      <w:pPr>
        <w:ind w:left="6477" w:hanging="180"/>
      </w:pPr>
    </w:lvl>
  </w:abstractNum>
  <w:abstractNum w:abstractNumId="7" w15:restartNumberingAfterBreak="0">
    <w:nsid w:val="09065A4E"/>
    <w:multiLevelType w:val="multilevel"/>
    <w:tmpl w:val="9B6C1E8C"/>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0AF579AA"/>
    <w:multiLevelType w:val="hybridMultilevel"/>
    <w:tmpl w:val="930A8F66"/>
    <w:lvl w:ilvl="0" w:tplc="B038EF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350AC"/>
    <w:multiLevelType w:val="multilevel"/>
    <w:tmpl w:val="AB7C5812"/>
    <w:lvl w:ilvl="0">
      <w:start w:val="1"/>
      <w:numFmt w:val="lowerLetter"/>
      <w:lvlText w:val="(%1)"/>
      <w:lvlJc w:val="left"/>
      <w:pPr>
        <w:ind w:left="1501" w:hanging="360"/>
      </w:pPr>
      <w:rPr>
        <w:rFonts w:ascii="Times New Roman" w:eastAsiaTheme="minorHAnsi" w:hAnsi="Times New Roman" w:cs="Times New Roman"/>
      </w:rPr>
    </w:lvl>
    <w:lvl w:ilvl="1">
      <w:start w:val="1"/>
      <w:numFmt w:val="bullet"/>
      <w:lvlText w:val="o"/>
      <w:lvlJc w:val="left"/>
      <w:pPr>
        <w:ind w:left="2221" w:hanging="360"/>
      </w:pPr>
      <w:rPr>
        <w:rFonts w:ascii="Courier New" w:hAnsi="Courier New" w:cs="Courier New" w:hint="default"/>
      </w:rPr>
    </w:lvl>
    <w:lvl w:ilvl="2">
      <w:start w:val="1"/>
      <w:numFmt w:val="bullet"/>
      <w:lvlText w:val=""/>
      <w:lvlJc w:val="left"/>
      <w:pPr>
        <w:ind w:left="2941" w:hanging="360"/>
      </w:pPr>
      <w:rPr>
        <w:rFonts w:ascii="Wingdings" w:hAnsi="Wingdings" w:hint="default"/>
      </w:rPr>
    </w:lvl>
    <w:lvl w:ilvl="3">
      <w:start w:val="1"/>
      <w:numFmt w:val="bullet"/>
      <w:lvlText w:val=""/>
      <w:lvlJc w:val="left"/>
      <w:pPr>
        <w:ind w:left="3661" w:hanging="360"/>
      </w:pPr>
      <w:rPr>
        <w:rFonts w:ascii="Symbol" w:hAnsi="Symbol" w:hint="default"/>
      </w:rPr>
    </w:lvl>
    <w:lvl w:ilvl="4">
      <w:start w:val="1"/>
      <w:numFmt w:val="bullet"/>
      <w:lvlText w:val="o"/>
      <w:lvlJc w:val="left"/>
      <w:pPr>
        <w:ind w:left="4381" w:hanging="360"/>
      </w:pPr>
      <w:rPr>
        <w:rFonts w:ascii="Courier New" w:hAnsi="Courier New" w:cs="Courier New" w:hint="default"/>
      </w:rPr>
    </w:lvl>
    <w:lvl w:ilvl="5">
      <w:start w:val="1"/>
      <w:numFmt w:val="bullet"/>
      <w:lvlText w:val=""/>
      <w:lvlJc w:val="left"/>
      <w:pPr>
        <w:ind w:left="5101" w:hanging="360"/>
      </w:pPr>
      <w:rPr>
        <w:rFonts w:ascii="Wingdings" w:hAnsi="Wingdings" w:hint="default"/>
      </w:rPr>
    </w:lvl>
    <w:lvl w:ilvl="6">
      <w:start w:val="1"/>
      <w:numFmt w:val="bullet"/>
      <w:lvlText w:val=""/>
      <w:lvlJc w:val="left"/>
      <w:pPr>
        <w:ind w:left="5821" w:hanging="360"/>
      </w:pPr>
      <w:rPr>
        <w:rFonts w:ascii="Symbol" w:hAnsi="Symbol" w:hint="default"/>
      </w:rPr>
    </w:lvl>
    <w:lvl w:ilvl="7">
      <w:start w:val="1"/>
      <w:numFmt w:val="bullet"/>
      <w:lvlText w:val="o"/>
      <w:lvlJc w:val="left"/>
      <w:pPr>
        <w:ind w:left="6541" w:hanging="360"/>
      </w:pPr>
      <w:rPr>
        <w:rFonts w:ascii="Courier New" w:hAnsi="Courier New" w:cs="Courier New" w:hint="default"/>
      </w:rPr>
    </w:lvl>
    <w:lvl w:ilvl="8">
      <w:start w:val="1"/>
      <w:numFmt w:val="bullet"/>
      <w:lvlText w:val=""/>
      <w:lvlJc w:val="left"/>
      <w:pPr>
        <w:ind w:left="7261" w:hanging="360"/>
      </w:pPr>
      <w:rPr>
        <w:rFonts w:ascii="Wingdings" w:hAnsi="Wingdings" w:hint="default"/>
      </w:rPr>
    </w:lvl>
  </w:abstractNum>
  <w:abstractNum w:abstractNumId="10" w15:restartNumberingAfterBreak="0">
    <w:nsid w:val="1B792165"/>
    <w:multiLevelType w:val="hybridMultilevel"/>
    <w:tmpl w:val="C2801C6E"/>
    <w:lvl w:ilvl="0" w:tplc="62281C24">
      <w:start w:val="1"/>
      <w:numFmt w:val="lowerLetter"/>
      <w:lvlText w:val="(%1)"/>
      <w:lvlJc w:val="left"/>
      <w:pPr>
        <w:ind w:left="1440" w:hanging="72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712"/>
    <w:multiLevelType w:val="multilevel"/>
    <w:tmpl w:val="949E1AB6"/>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2EDA0B9C"/>
    <w:multiLevelType w:val="hybridMultilevel"/>
    <w:tmpl w:val="5C5A59BA"/>
    <w:lvl w:ilvl="0" w:tplc="ED963778">
      <w:start w:val="1"/>
      <w:numFmt w:val="decimal"/>
      <w:pStyle w:val="SALparagraphs"/>
      <w:lvlText w:val="%1"/>
      <w:lvlJc w:val="left"/>
      <w:pPr>
        <w:ind w:left="720" w:hanging="72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2BC0B1F"/>
    <w:multiLevelType w:val="hybridMultilevel"/>
    <w:tmpl w:val="461AB19E"/>
    <w:lvl w:ilvl="0" w:tplc="53FEB4A2">
      <w:start w:val="1"/>
      <w:numFmt w:val="lowerLetter"/>
      <w:lvlText w:val="(%1)"/>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4" w15:restartNumberingAfterBreak="0">
    <w:nsid w:val="365A64F9"/>
    <w:multiLevelType w:val="multilevel"/>
    <w:tmpl w:val="461AB19E"/>
    <w:lvl w:ilvl="0">
      <w:start w:val="1"/>
      <w:numFmt w:val="lowerLetter"/>
      <w:lvlText w:val="(%1)"/>
      <w:lvlJc w:val="left"/>
      <w:pPr>
        <w:ind w:left="1440" w:hanging="720"/>
      </w:pPr>
      <w:rPr>
        <w:rFonts w:ascii="Times New Roman" w:eastAsiaTheme="minorHAnsi" w:hAnsi="Times New Roman" w:cs="Times New Roman" w:hint="default"/>
      </w:rPr>
    </w:lvl>
    <w:lvl w:ilvl="1">
      <w:start w:val="1"/>
      <w:numFmt w:val="bullet"/>
      <w:lvlText w:val="o"/>
      <w:lvlJc w:val="left"/>
      <w:pPr>
        <w:ind w:left="2221" w:hanging="360"/>
      </w:pPr>
      <w:rPr>
        <w:rFonts w:ascii="Courier New" w:hAnsi="Courier New" w:cs="Courier New" w:hint="default"/>
      </w:rPr>
    </w:lvl>
    <w:lvl w:ilvl="2">
      <w:start w:val="1"/>
      <w:numFmt w:val="bullet"/>
      <w:lvlText w:val=""/>
      <w:lvlJc w:val="left"/>
      <w:pPr>
        <w:ind w:left="2941" w:hanging="360"/>
      </w:pPr>
      <w:rPr>
        <w:rFonts w:ascii="Wingdings" w:hAnsi="Wingdings" w:hint="default"/>
      </w:rPr>
    </w:lvl>
    <w:lvl w:ilvl="3">
      <w:start w:val="1"/>
      <w:numFmt w:val="bullet"/>
      <w:lvlText w:val=""/>
      <w:lvlJc w:val="left"/>
      <w:pPr>
        <w:ind w:left="3661" w:hanging="360"/>
      </w:pPr>
      <w:rPr>
        <w:rFonts w:ascii="Symbol" w:hAnsi="Symbol" w:hint="default"/>
      </w:rPr>
    </w:lvl>
    <w:lvl w:ilvl="4">
      <w:start w:val="1"/>
      <w:numFmt w:val="bullet"/>
      <w:lvlText w:val="o"/>
      <w:lvlJc w:val="left"/>
      <w:pPr>
        <w:ind w:left="4381" w:hanging="360"/>
      </w:pPr>
      <w:rPr>
        <w:rFonts w:ascii="Courier New" w:hAnsi="Courier New" w:cs="Courier New" w:hint="default"/>
      </w:rPr>
    </w:lvl>
    <w:lvl w:ilvl="5">
      <w:start w:val="1"/>
      <w:numFmt w:val="bullet"/>
      <w:lvlText w:val=""/>
      <w:lvlJc w:val="left"/>
      <w:pPr>
        <w:ind w:left="5101" w:hanging="360"/>
      </w:pPr>
      <w:rPr>
        <w:rFonts w:ascii="Wingdings" w:hAnsi="Wingdings" w:hint="default"/>
      </w:rPr>
    </w:lvl>
    <w:lvl w:ilvl="6">
      <w:start w:val="1"/>
      <w:numFmt w:val="bullet"/>
      <w:lvlText w:val=""/>
      <w:lvlJc w:val="left"/>
      <w:pPr>
        <w:ind w:left="5821" w:hanging="360"/>
      </w:pPr>
      <w:rPr>
        <w:rFonts w:ascii="Symbol" w:hAnsi="Symbol" w:hint="default"/>
      </w:rPr>
    </w:lvl>
    <w:lvl w:ilvl="7">
      <w:start w:val="1"/>
      <w:numFmt w:val="bullet"/>
      <w:lvlText w:val="o"/>
      <w:lvlJc w:val="left"/>
      <w:pPr>
        <w:ind w:left="6541" w:hanging="360"/>
      </w:pPr>
      <w:rPr>
        <w:rFonts w:ascii="Courier New" w:hAnsi="Courier New" w:cs="Courier New" w:hint="default"/>
      </w:rPr>
    </w:lvl>
    <w:lvl w:ilvl="8">
      <w:start w:val="1"/>
      <w:numFmt w:val="bullet"/>
      <w:lvlText w:val=""/>
      <w:lvlJc w:val="left"/>
      <w:pPr>
        <w:ind w:left="7261" w:hanging="360"/>
      </w:pPr>
      <w:rPr>
        <w:rFonts w:ascii="Wingdings" w:hAnsi="Wingdings" w:hint="default"/>
      </w:rPr>
    </w:lvl>
  </w:abstractNum>
  <w:abstractNum w:abstractNumId="15" w15:restartNumberingAfterBreak="0">
    <w:nsid w:val="3B2C3F94"/>
    <w:multiLevelType w:val="multilevel"/>
    <w:tmpl w:val="B5FAA6F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57E2FF7"/>
    <w:multiLevelType w:val="multilevel"/>
    <w:tmpl w:val="14520E2C"/>
    <w:lvl w:ilvl="0">
      <w:start w:val="1"/>
      <w:numFmt w:val="upperLetter"/>
      <w:lvlText w:val="%1."/>
      <w:lvlJc w:val="left"/>
      <w:pPr>
        <w:ind w:left="717" w:hanging="71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C700D5"/>
    <w:multiLevelType w:val="hybridMultilevel"/>
    <w:tmpl w:val="883E3F36"/>
    <w:lvl w:ilvl="0" w:tplc="2FA4F91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519D2FBF"/>
    <w:multiLevelType w:val="hybridMultilevel"/>
    <w:tmpl w:val="55B6B970"/>
    <w:lvl w:ilvl="0" w:tplc="FE3858B4">
      <w:start w:val="1"/>
      <w:numFmt w:val="upperRoman"/>
      <w:pStyle w:val="Heading1"/>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7E23DD4"/>
    <w:multiLevelType w:val="hybridMultilevel"/>
    <w:tmpl w:val="2A2EA3F6"/>
    <w:lvl w:ilvl="0" w:tplc="62281C24">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88E"/>
    <w:multiLevelType w:val="hybridMultilevel"/>
    <w:tmpl w:val="C51E8A5C"/>
    <w:lvl w:ilvl="0" w:tplc="65481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816B57"/>
    <w:multiLevelType w:val="hybridMultilevel"/>
    <w:tmpl w:val="8EAA9AEE"/>
    <w:lvl w:ilvl="0" w:tplc="8F1A5B06">
      <w:start w:val="1"/>
      <w:numFmt w:val="upperLetter"/>
      <w:pStyle w:val="Heading2"/>
      <w:lvlText w:val="%1."/>
      <w:lvlJc w:val="left"/>
      <w:pPr>
        <w:ind w:left="717" w:hanging="71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DE95494"/>
    <w:multiLevelType w:val="hybridMultilevel"/>
    <w:tmpl w:val="4D146666"/>
    <w:lvl w:ilvl="0" w:tplc="F724CA6A">
      <w:start w:val="1"/>
      <w:numFmt w:val="decimal"/>
      <w:lvlText w:val="%1."/>
      <w:lvlJc w:val="left"/>
      <w:pPr>
        <w:ind w:left="643" w:hanging="360"/>
      </w:pPr>
      <w:rPr>
        <w:rFonts w:hint="default"/>
        <w:i w:val="0"/>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23" w15:restartNumberingAfterBreak="0">
    <w:nsid w:val="7438656E"/>
    <w:multiLevelType w:val="multilevel"/>
    <w:tmpl w:val="55B6B97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D75D94"/>
    <w:multiLevelType w:val="hybridMultilevel"/>
    <w:tmpl w:val="7980AFAE"/>
    <w:lvl w:ilvl="0" w:tplc="62281C24">
      <w:start w:val="1"/>
      <w:numFmt w:val="lowerLetter"/>
      <w:lvlText w:val="(%1)"/>
      <w:lvlJc w:val="left"/>
      <w:pPr>
        <w:ind w:left="1440" w:hanging="720"/>
      </w:pPr>
      <w:rPr>
        <w:rFonts w:ascii="Times New Roman" w:hAnsi="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7C440CE5"/>
    <w:multiLevelType w:val="hybridMultilevel"/>
    <w:tmpl w:val="CA2A5836"/>
    <w:lvl w:ilvl="0" w:tplc="1C961E6E">
      <w:start w:val="1"/>
      <w:numFmt w:val="upperLetter"/>
      <w:lvlText w:val="%1."/>
      <w:lvlJc w:val="left"/>
      <w:pPr>
        <w:ind w:left="-3" w:hanging="36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num w:numId="1">
    <w:abstractNumId w:val="18"/>
  </w:num>
  <w:num w:numId="2">
    <w:abstractNumId w:val="22"/>
  </w:num>
  <w:num w:numId="3">
    <w:abstractNumId w:val="21"/>
  </w:num>
  <w:num w:numId="4">
    <w:abstractNumId w:val="6"/>
  </w:num>
  <w:num w:numId="5">
    <w:abstractNumId w:val="21"/>
    <w:lvlOverride w:ilvl="0">
      <w:startOverride w:val="1"/>
    </w:lvlOverride>
  </w:num>
  <w:num w:numId="6">
    <w:abstractNumId w:val="4"/>
  </w:num>
  <w:num w:numId="7">
    <w:abstractNumId w:val="12"/>
  </w:num>
  <w:num w:numId="8">
    <w:abstractNumId w:val="11"/>
  </w:num>
  <w:num w:numId="9">
    <w:abstractNumId w:val="19"/>
  </w:num>
  <w:num w:numId="10">
    <w:abstractNumId w:val="12"/>
    <w:lvlOverride w:ilvl="0">
      <w:startOverride w:val="1"/>
    </w:lvlOverride>
  </w:num>
  <w:num w:numId="11">
    <w:abstractNumId w:val="20"/>
  </w:num>
  <w:num w:numId="12">
    <w:abstractNumId w:val="12"/>
    <w:lvlOverride w:ilvl="0">
      <w:startOverride w:val="1"/>
    </w:lvlOverride>
  </w:num>
  <w:num w:numId="13">
    <w:abstractNumId w:val="17"/>
  </w:num>
  <w:num w:numId="14">
    <w:abstractNumId w:val="12"/>
  </w:num>
  <w:num w:numId="15">
    <w:abstractNumId w:val="13"/>
  </w:num>
  <w:num w:numId="16">
    <w:abstractNumId w:val="1"/>
  </w:num>
  <w:num w:numId="17">
    <w:abstractNumId w:val="25"/>
  </w:num>
  <w:num w:numId="18">
    <w:abstractNumId w:val="9"/>
  </w:num>
  <w:num w:numId="19">
    <w:abstractNumId w:val="14"/>
  </w:num>
  <w:num w:numId="20">
    <w:abstractNumId w:val="3"/>
  </w:num>
  <w:num w:numId="21">
    <w:abstractNumId w:val="16"/>
  </w:num>
  <w:num w:numId="22">
    <w:abstractNumId w:val="5"/>
  </w:num>
  <w:num w:numId="23">
    <w:abstractNumId w:val="2"/>
  </w:num>
  <w:num w:numId="24">
    <w:abstractNumId w:val="15"/>
  </w:num>
  <w:num w:numId="25">
    <w:abstractNumId w:val="0"/>
  </w:num>
  <w:num w:numId="26">
    <w:abstractNumId w:val="24"/>
  </w:num>
  <w:num w:numId="27">
    <w:abstractNumId w:val="8"/>
  </w:num>
  <w:num w:numId="28">
    <w:abstractNumId w:val="7"/>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88"/>
    <w:rsid w:val="0000096C"/>
    <w:rsid w:val="0000154B"/>
    <w:rsid w:val="00001669"/>
    <w:rsid w:val="000023A5"/>
    <w:rsid w:val="000028C7"/>
    <w:rsid w:val="00010194"/>
    <w:rsid w:val="000108DC"/>
    <w:rsid w:val="00010E61"/>
    <w:rsid w:val="00012173"/>
    <w:rsid w:val="00015D6B"/>
    <w:rsid w:val="00016BCB"/>
    <w:rsid w:val="000177EE"/>
    <w:rsid w:val="00020D9B"/>
    <w:rsid w:val="000223B8"/>
    <w:rsid w:val="000233A2"/>
    <w:rsid w:val="0002464E"/>
    <w:rsid w:val="00024915"/>
    <w:rsid w:val="000249F0"/>
    <w:rsid w:val="00026B3F"/>
    <w:rsid w:val="0002703E"/>
    <w:rsid w:val="0002743C"/>
    <w:rsid w:val="00027E23"/>
    <w:rsid w:val="00027F3B"/>
    <w:rsid w:val="00030BCF"/>
    <w:rsid w:val="000315AE"/>
    <w:rsid w:val="00032521"/>
    <w:rsid w:val="0003310D"/>
    <w:rsid w:val="00033857"/>
    <w:rsid w:val="0003438E"/>
    <w:rsid w:val="0003494F"/>
    <w:rsid w:val="00046758"/>
    <w:rsid w:val="00047D08"/>
    <w:rsid w:val="00050119"/>
    <w:rsid w:val="00050859"/>
    <w:rsid w:val="000520C9"/>
    <w:rsid w:val="0005739C"/>
    <w:rsid w:val="00062A1E"/>
    <w:rsid w:val="00062F54"/>
    <w:rsid w:val="0006761D"/>
    <w:rsid w:val="00072428"/>
    <w:rsid w:val="00073D1D"/>
    <w:rsid w:val="000801E8"/>
    <w:rsid w:val="0008291E"/>
    <w:rsid w:val="0008478C"/>
    <w:rsid w:val="000853F3"/>
    <w:rsid w:val="00090C30"/>
    <w:rsid w:val="00094AAC"/>
    <w:rsid w:val="00094E0F"/>
    <w:rsid w:val="000A1E19"/>
    <w:rsid w:val="000A56BD"/>
    <w:rsid w:val="000A7355"/>
    <w:rsid w:val="000B0E89"/>
    <w:rsid w:val="000B4371"/>
    <w:rsid w:val="000B59E7"/>
    <w:rsid w:val="000C5B2D"/>
    <w:rsid w:val="000C7CB9"/>
    <w:rsid w:val="000D045B"/>
    <w:rsid w:val="000D2052"/>
    <w:rsid w:val="000E332C"/>
    <w:rsid w:val="000E5089"/>
    <w:rsid w:val="000E6722"/>
    <w:rsid w:val="000F2F60"/>
    <w:rsid w:val="000F6F40"/>
    <w:rsid w:val="000F709B"/>
    <w:rsid w:val="000F7A71"/>
    <w:rsid w:val="001038EA"/>
    <w:rsid w:val="0010445E"/>
    <w:rsid w:val="00104B8D"/>
    <w:rsid w:val="00111D44"/>
    <w:rsid w:val="001122D9"/>
    <w:rsid w:val="0011419A"/>
    <w:rsid w:val="00121064"/>
    <w:rsid w:val="00121C97"/>
    <w:rsid w:val="001229CF"/>
    <w:rsid w:val="00124546"/>
    <w:rsid w:val="00126620"/>
    <w:rsid w:val="00127FCA"/>
    <w:rsid w:val="00130376"/>
    <w:rsid w:val="00131EF6"/>
    <w:rsid w:val="001361D5"/>
    <w:rsid w:val="00150F69"/>
    <w:rsid w:val="0015339D"/>
    <w:rsid w:val="0015513F"/>
    <w:rsid w:val="00155E30"/>
    <w:rsid w:val="0015767D"/>
    <w:rsid w:val="00157974"/>
    <w:rsid w:val="00163943"/>
    <w:rsid w:val="00171477"/>
    <w:rsid w:val="00173C4C"/>
    <w:rsid w:val="00174E69"/>
    <w:rsid w:val="00175B6F"/>
    <w:rsid w:val="00177B38"/>
    <w:rsid w:val="00177CFB"/>
    <w:rsid w:val="00180C92"/>
    <w:rsid w:val="00182BB2"/>
    <w:rsid w:val="00182FE5"/>
    <w:rsid w:val="0018423A"/>
    <w:rsid w:val="001860CC"/>
    <w:rsid w:val="001863BF"/>
    <w:rsid w:val="001A0279"/>
    <w:rsid w:val="001A1E19"/>
    <w:rsid w:val="001A1E57"/>
    <w:rsid w:val="001A3A86"/>
    <w:rsid w:val="001B274A"/>
    <w:rsid w:val="001B5434"/>
    <w:rsid w:val="001B5C90"/>
    <w:rsid w:val="001C4166"/>
    <w:rsid w:val="001C5B88"/>
    <w:rsid w:val="001C5C90"/>
    <w:rsid w:val="001D31DC"/>
    <w:rsid w:val="001D678D"/>
    <w:rsid w:val="001E0198"/>
    <w:rsid w:val="001E2ABD"/>
    <w:rsid w:val="001E44DC"/>
    <w:rsid w:val="001E4A71"/>
    <w:rsid w:val="001E7377"/>
    <w:rsid w:val="001F19F5"/>
    <w:rsid w:val="001F6D3E"/>
    <w:rsid w:val="00200B4D"/>
    <w:rsid w:val="002016A1"/>
    <w:rsid w:val="00207193"/>
    <w:rsid w:val="002100F9"/>
    <w:rsid w:val="002111DC"/>
    <w:rsid w:val="00211B27"/>
    <w:rsid w:val="00212704"/>
    <w:rsid w:val="00212DC3"/>
    <w:rsid w:val="00214C63"/>
    <w:rsid w:val="00216E81"/>
    <w:rsid w:val="00222A31"/>
    <w:rsid w:val="00223F4D"/>
    <w:rsid w:val="00224B8D"/>
    <w:rsid w:val="00230BE0"/>
    <w:rsid w:val="0023180E"/>
    <w:rsid w:val="00232EBD"/>
    <w:rsid w:val="00232F84"/>
    <w:rsid w:val="00233976"/>
    <w:rsid w:val="002367CD"/>
    <w:rsid w:val="00250465"/>
    <w:rsid w:val="00253A99"/>
    <w:rsid w:val="002609B5"/>
    <w:rsid w:val="00260DC8"/>
    <w:rsid w:val="002619E6"/>
    <w:rsid w:val="00265E62"/>
    <w:rsid w:val="00270949"/>
    <w:rsid w:val="00270D0B"/>
    <w:rsid w:val="00273A56"/>
    <w:rsid w:val="002763C9"/>
    <w:rsid w:val="0027741F"/>
    <w:rsid w:val="002816F5"/>
    <w:rsid w:val="0028208A"/>
    <w:rsid w:val="00285763"/>
    <w:rsid w:val="00287BEF"/>
    <w:rsid w:val="00287E42"/>
    <w:rsid w:val="002907DF"/>
    <w:rsid w:val="00291F4D"/>
    <w:rsid w:val="00292246"/>
    <w:rsid w:val="00292B77"/>
    <w:rsid w:val="00294904"/>
    <w:rsid w:val="002954B1"/>
    <w:rsid w:val="0029753D"/>
    <w:rsid w:val="00297D96"/>
    <w:rsid w:val="002B0647"/>
    <w:rsid w:val="002B3C0F"/>
    <w:rsid w:val="002B4801"/>
    <w:rsid w:val="002C1E4D"/>
    <w:rsid w:val="002C2916"/>
    <w:rsid w:val="002C41E8"/>
    <w:rsid w:val="002C6C87"/>
    <w:rsid w:val="002C713A"/>
    <w:rsid w:val="002D72D3"/>
    <w:rsid w:val="002E195A"/>
    <w:rsid w:val="002E1A86"/>
    <w:rsid w:val="002E36A1"/>
    <w:rsid w:val="002F0311"/>
    <w:rsid w:val="002F0925"/>
    <w:rsid w:val="002F1800"/>
    <w:rsid w:val="002F6BAE"/>
    <w:rsid w:val="003025E2"/>
    <w:rsid w:val="00305AF6"/>
    <w:rsid w:val="00306EA2"/>
    <w:rsid w:val="0030792B"/>
    <w:rsid w:val="00310062"/>
    <w:rsid w:val="003103E1"/>
    <w:rsid w:val="00312A76"/>
    <w:rsid w:val="00314996"/>
    <w:rsid w:val="00321A0C"/>
    <w:rsid w:val="00324C02"/>
    <w:rsid w:val="00327900"/>
    <w:rsid w:val="00330748"/>
    <w:rsid w:val="003310ED"/>
    <w:rsid w:val="00336355"/>
    <w:rsid w:val="00340B64"/>
    <w:rsid w:val="00345D54"/>
    <w:rsid w:val="00347B5D"/>
    <w:rsid w:val="00350A40"/>
    <w:rsid w:val="00353C31"/>
    <w:rsid w:val="00355E65"/>
    <w:rsid w:val="0035662F"/>
    <w:rsid w:val="00356EDE"/>
    <w:rsid w:val="00360420"/>
    <w:rsid w:val="003609F5"/>
    <w:rsid w:val="003633AE"/>
    <w:rsid w:val="00365196"/>
    <w:rsid w:val="00366678"/>
    <w:rsid w:val="003671E5"/>
    <w:rsid w:val="00373BA1"/>
    <w:rsid w:val="00373E5A"/>
    <w:rsid w:val="00374DFE"/>
    <w:rsid w:val="003770FE"/>
    <w:rsid w:val="00381605"/>
    <w:rsid w:val="00383E33"/>
    <w:rsid w:val="00385387"/>
    <w:rsid w:val="00387F1A"/>
    <w:rsid w:val="00390D16"/>
    <w:rsid w:val="00395FB7"/>
    <w:rsid w:val="003A07CE"/>
    <w:rsid w:val="003A299B"/>
    <w:rsid w:val="003A4AF5"/>
    <w:rsid w:val="003A7461"/>
    <w:rsid w:val="003B308B"/>
    <w:rsid w:val="003B33E5"/>
    <w:rsid w:val="003B5CAC"/>
    <w:rsid w:val="003B6C45"/>
    <w:rsid w:val="003C3B04"/>
    <w:rsid w:val="003C59BA"/>
    <w:rsid w:val="003D16D6"/>
    <w:rsid w:val="003D6327"/>
    <w:rsid w:val="003E2E56"/>
    <w:rsid w:val="003E3DE8"/>
    <w:rsid w:val="003E5098"/>
    <w:rsid w:val="003F1020"/>
    <w:rsid w:val="003F51E3"/>
    <w:rsid w:val="0040154A"/>
    <w:rsid w:val="00401854"/>
    <w:rsid w:val="00401E7C"/>
    <w:rsid w:val="0040326C"/>
    <w:rsid w:val="004033A1"/>
    <w:rsid w:val="00403490"/>
    <w:rsid w:val="00407CB2"/>
    <w:rsid w:val="004131E9"/>
    <w:rsid w:val="0041394F"/>
    <w:rsid w:val="00416915"/>
    <w:rsid w:val="00416E77"/>
    <w:rsid w:val="0042327F"/>
    <w:rsid w:val="0043170E"/>
    <w:rsid w:val="00433CB4"/>
    <w:rsid w:val="00433EB7"/>
    <w:rsid w:val="004340B1"/>
    <w:rsid w:val="00434896"/>
    <w:rsid w:val="00435342"/>
    <w:rsid w:val="004437D4"/>
    <w:rsid w:val="004458F8"/>
    <w:rsid w:val="0045093F"/>
    <w:rsid w:val="00451527"/>
    <w:rsid w:val="00451C2E"/>
    <w:rsid w:val="004520A5"/>
    <w:rsid w:val="004525C8"/>
    <w:rsid w:val="00452D47"/>
    <w:rsid w:val="00452FAA"/>
    <w:rsid w:val="00453482"/>
    <w:rsid w:val="00454367"/>
    <w:rsid w:val="004548D2"/>
    <w:rsid w:val="0045766B"/>
    <w:rsid w:val="00461B8D"/>
    <w:rsid w:val="004667DA"/>
    <w:rsid w:val="0047524B"/>
    <w:rsid w:val="00477AC5"/>
    <w:rsid w:val="00480F9C"/>
    <w:rsid w:val="004823DF"/>
    <w:rsid w:val="0048528B"/>
    <w:rsid w:val="00486CB1"/>
    <w:rsid w:val="00486EAD"/>
    <w:rsid w:val="0049135A"/>
    <w:rsid w:val="00492359"/>
    <w:rsid w:val="00493F01"/>
    <w:rsid w:val="004A1811"/>
    <w:rsid w:val="004A2B0E"/>
    <w:rsid w:val="004A3013"/>
    <w:rsid w:val="004B1A18"/>
    <w:rsid w:val="004B3433"/>
    <w:rsid w:val="004B344B"/>
    <w:rsid w:val="004B3B64"/>
    <w:rsid w:val="004B7CE1"/>
    <w:rsid w:val="004B7F9E"/>
    <w:rsid w:val="004C567E"/>
    <w:rsid w:val="004C60EC"/>
    <w:rsid w:val="004D0C13"/>
    <w:rsid w:val="004D1DCB"/>
    <w:rsid w:val="004D63A5"/>
    <w:rsid w:val="004E1211"/>
    <w:rsid w:val="004E2F52"/>
    <w:rsid w:val="004E537C"/>
    <w:rsid w:val="004E5C3D"/>
    <w:rsid w:val="004F12D5"/>
    <w:rsid w:val="004F1916"/>
    <w:rsid w:val="004F19CB"/>
    <w:rsid w:val="004F4A3C"/>
    <w:rsid w:val="004F7618"/>
    <w:rsid w:val="005007B1"/>
    <w:rsid w:val="00500A49"/>
    <w:rsid w:val="0050169A"/>
    <w:rsid w:val="005047A3"/>
    <w:rsid w:val="0050584E"/>
    <w:rsid w:val="00510C3C"/>
    <w:rsid w:val="00514625"/>
    <w:rsid w:val="005164C5"/>
    <w:rsid w:val="0052139E"/>
    <w:rsid w:val="005233C3"/>
    <w:rsid w:val="00525717"/>
    <w:rsid w:val="00525E3B"/>
    <w:rsid w:val="00537A79"/>
    <w:rsid w:val="00542138"/>
    <w:rsid w:val="005430A2"/>
    <w:rsid w:val="005430EF"/>
    <w:rsid w:val="00544E8F"/>
    <w:rsid w:val="005454E3"/>
    <w:rsid w:val="00553014"/>
    <w:rsid w:val="00554129"/>
    <w:rsid w:val="0055484E"/>
    <w:rsid w:val="005556F0"/>
    <w:rsid w:val="00564D80"/>
    <w:rsid w:val="00565AC2"/>
    <w:rsid w:val="0057015B"/>
    <w:rsid w:val="0057315B"/>
    <w:rsid w:val="00575FD8"/>
    <w:rsid w:val="00576261"/>
    <w:rsid w:val="00576C4D"/>
    <w:rsid w:val="005829E9"/>
    <w:rsid w:val="0058702A"/>
    <w:rsid w:val="00591E88"/>
    <w:rsid w:val="005A099B"/>
    <w:rsid w:val="005A2202"/>
    <w:rsid w:val="005A2CD2"/>
    <w:rsid w:val="005B1997"/>
    <w:rsid w:val="005B465C"/>
    <w:rsid w:val="005B75AF"/>
    <w:rsid w:val="005C0E3B"/>
    <w:rsid w:val="005C15F5"/>
    <w:rsid w:val="005C1BCF"/>
    <w:rsid w:val="005C23C5"/>
    <w:rsid w:val="005C3726"/>
    <w:rsid w:val="005C7841"/>
    <w:rsid w:val="005D08A7"/>
    <w:rsid w:val="005D6CF7"/>
    <w:rsid w:val="005D6FC1"/>
    <w:rsid w:val="005D7859"/>
    <w:rsid w:val="005E6EE7"/>
    <w:rsid w:val="005E7A2F"/>
    <w:rsid w:val="005F4538"/>
    <w:rsid w:val="005F7079"/>
    <w:rsid w:val="005F7C26"/>
    <w:rsid w:val="005F7CF1"/>
    <w:rsid w:val="006003D1"/>
    <w:rsid w:val="00607F49"/>
    <w:rsid w:val="00611A27"/>
    <w:rsid w:val="00614AFF"/>
    <w:rsid w:val="00617E39"/>
    <w:rsid w:val="00621FC0"/>
    <w:rsid w:val="0062297A"/>
    <w:rsid w:val="006230E0"/>
    <w:rsid w:val="00623865"/>
    <w:rsid w:val="00625ED3"/>
    <w:rsid w:val="00626207"/>
    <w:rsid w:val="00627C5C"/>
    <w:rsid w:val="00631F5A"/>
    <w:rsid w:val="00634E18"/>
    <w:rsid w:val="00637D80"/>
    <w:rsid w:val="006456D7"/>
    <w:rsid w:val="00646633"/>
    <w:rsid w:val="00655A8F"/>
    <w:rsid w:val="00660894"/>
    <w:rsid w:val="00661F84"/>
    <w:rsid w:val="0066657D"/>
    <w:rsid w:val="00674402"/>
    <w:rsid w:val="00681511"/>
    <w:rsid w:val="00681600"/>
    <w:rsid w:val="00686742"/>
    <w:rsid w:val="00686EBF"/>
    <w:rsid w:val="0069242A"/>
    <w:rsid w:val="00696654"/>
    <w:rsid w:val="00697FC8"/>
    <w:rsid w:val="006A017B"/>
    <w:rsid w:val="006A01AD"/>
    <w:rsid w:val="006A1335"/>
    <w:rsid w:val="006A3896"/>
    <w:rsid w:val="006B0F11"/>
    <w:rsid w:val="006B1BA5"/>
    <w:rsid w:val="006C0A05"/>
    <w:rsid w:val="006C11A4"/>
    <w:rsid w:val="006C1D2D"/>
    <w:rsid w:val="006C2DD8"/>
    <w:rsid w:val="006C45C4"/>
    <w:rsid w:val="006D146D"/>
    <w:rsid w:val="006D269F"/>
    <w:rsid w:val="006D31EB"/>
    <w:rsid w:val="006D4BC7"/>
    <w:rsid w:val="006D6ADC"/>
    <w:rsid w:val="006E035C"/>
    <w:rsid w:val="006E18BE"/>
    <w:rsid w:val="006E25B9"/>
    <w:rsid w:val="006E35FD"/>
    <w:rsid w:val="006E44CA"/>
    <w:rsid w:val="006E74C1"/>
    <w:rsid w:val="006F24EA"/>
    <w:rsid w:val="006F352C"/>
    <w:rsid w:val="006F43E3"/>
    <w:rsid w:val="006F50D7"/>
    <w:rsid w:val="006F7146"/>
    <w:rsid w:val="00701F76"/>
    <w:rsid w:val="00703551"/>
    <w:rsid w:val="00712842"/>
    <w:rsid w:val="00714052"/>
    <w:rsid w:val="00722EF9"/>
    <w:rsid w:val="007276BD"/>
    <w:rsid w:val="00731734"/>
    <w:rsid w:val="00731F14"/>
    <w:rsid w:val="007328E0"/>
    <w:rsid w:val="00733864"/>
    <w:rsid w:val="007338D8"/>
    <w:rsid w:val="00733C1C"/>
    <w:rsid w:val="00734F03"/>
    <w:rsid w:val="00741B73"/>
    <w:rsid w:val="0074515F"/>
    <w:rsid w:val="00750CB9"/>
    <w:rsid w:val="00750D61"/>
    <w:rsid w:val="00757232"/>
    <w:rsid w:val="00760499"/>
    <w:rsid w:val="00762903"/>
    <w:rsid w:val="00762C7C"/>
    <w:rsid w:val="007642AD"/>
    <w:rsid w:val="007704A2"/>
    <w:rsid w:val="00770571"/>
    <w:rsid w:val="00777B28"/>
    <w:rsid w:val="007819B3"/>
    <w:rsid w:val="00782148"/>
    <w:rsid w:val="007827E3"/>
    <w:rsid w:val="007843D1"/>
    <w:rsid w:val="0078571F"/>
    <w:rsid w:val="00786636"/>
    <w:rsid w:val="00786AD9"/>
    <w:rsid w:val="00787CB4"/>
    <w:rsid w:val="007909F9"/>
    <w:rsid w:val="0079332E"/>
    <w:rsid w:val="007949CE"/>
    <w:rsid w:val="007A12B2"/>
    <w:rsid w:val="007A470F"/>
    <w:rsid w:val="007A521E"/>
    <w:rsid w:val="007A5CB2"/>
    <w:rsid w:val="007A6362"/>
    <w:rsid w:val="007B02E5"/>
    <w:rsid w:val="007B0E1A"/>
    <w:rsid w:val="007B11C2"/>
    <w:rsid w:val="007B5AF5"/>
    <w:rsid w:val="007C0EDD"/>
    <w:rsid w:val="007C115D"/>
    <w:rsid w:val="007D0C48"/>
    <w:rsid w:val="007D1B31"/>
    <w:rsid w:val="007D2A37"/>
    <w:rsid w:val="007D5387"/>
    <w:rsid w:val="007E3B88"/>
    <w:rsid w:val="007E4ACB"/>
    <w:rsid w:val="007F013B"/>
    <w:rsid w:val="00804F82"/>
    <w:rsid w:val="0081154A"/>
    <w:rsid w:val="00811D7A"/>
    <w:rsid w:val="008125F8"/>
    <w:rsid w:val="00812A6F"/>
    <w:rsid w:val="00814DFF"/>
    <w:rsid w:val="00815E38"/>
    <w:rsid w:val="00820010"/>
    <w:rsid w:val="00823B3C"/>
    <w:rsid w:val="008251D8"/>
    <w:rsid w:val="00825FB0"/>
    <w:rsid w:val="00826755"/>
    <w:rsid w:val="00836BB9"/>
    <w:rsid w:val="00836F55"/>
    <w:rsid w:val="00840DFC"/>
    <w:rsid w:val="008433A9"/>
    <w:rsid w:val="00844E09"/>
    <w:rsid w:val="0085194A"/>
    <w:rsid w:val="0085223D"/>
    <w:rsid w:val="008522F8"/>
    <w:rsid w:val="008550D8"/>
    <w:rsid w:val="008554F3"/>
    <w:rsid w:val="00855D03"/>
    <w:rsid w:val="00856E2C"/>
    <w:rsid w:val="00857FE0"/>
    <w:rsid w:val="008612AE"/>
    <w:rsid w:val="008645B5"/>
    <w:rsid w:val="008664CA"/>
    <w:rsid w:val="008709D0"/>
    <w:rsid w:val="008714A9"/>
    <w:rsid w:val="00873D5D"/>
    <w:rsid w:val="00874F49"/>
    <w:rsid w:val="00875C05"/>
    <w:rsid w:val="00877B23"/>
    <w:rsid w:val="00882CB4"/>
    <w:rsid w:val="00883208"/>
    <w:rsid w:val="00885069"/>
    <w:rsid w:val="008922AD"/>
    <w:rsid w:val="0089394C"/>
    <w:rsid w:val="00893A89"/>
    <w:rsid w:val="0089626F"/>
    <w:rsid w:val="0089718C"/>
    <w:rsid w:val="008978E4"/>
    <w:rsid w:val="008A02FE"/>
    <w:rsid w:val="008A482E"/>
    <w:rsid w:val="008A4FCF"/>
    <w:rsid w:val="008A6EAE"/>
    <w:rsid w:val="008B40BA"/>
    <w:rsid w:val="008B6541"/>
    <w:rsid w:val="008C1E6D"/>
    <w:rsid w:val="008D284F"/>
    <w:rsid w:val="008D69FC"/>
    <w:rsid w:val="008E4C8A"/>
    <w:rsid w:val="008F33EC"/>
    <w:rsid w:val="008F5E1F"/>
    <w:rsid w:val="008F698E"/>
    <w:rsid w:val="008F6A45"/>
    <w:rsid w:val="008F6DE4"/>
    <w:rsid w:val="008F78E6"/>
    <w:rsid w:val="0090427C"/>
    <w:rsid w:val="0090542F"/>
    <w:rsid w:val="009105B6"/>
    <w:rsid w:val="009106AF"/>
    <w:rsid w:val="00910E8A"/>
    <w:rsid w:val="00917FFE"/>
    <w:rsid w:val="009205F5"/>
    <w:rsid w:val="00924535"/>
    <w:rsid w:val="00925728"/>
    <w:rsid w:val="0092609B"/>
    <w:rsid w:val="00931049"/>
    <w:rsid w:val="00931182"/>
    <w:rsid w:val="009319D8"/>
    <w:rsid w:val="00932834"/>
    <w:rsid w:val="00932E98"/>
    <w:rsid w:val="0093796E"/>
    <w:rsid w:val="00941008"/>
    <w:rsid w:val="0094304D"/>
    <w:rsid w:val="0094732B"/>
    <w:rsid w:val="0094770C"/>
    <w:rsid w:val="00956B33"/>
    <w:rsid w:val="00960845"/>
    <w:rsid w:val="0096309D"/>
    <w:rsid w:val="009639E4"/>
    <w:rsid w:val="009660E0"/>
    <w:rsid w:val="00967CD5"/>
    <w:rsid w:val="009719F1"/>
    <w:rsid w:val="009752D5"/>
    <w:rsid w:val="00976223"/>
    <w:rsid w:val="00977921"/>
    <w:rsid w:val="00981884"/>
    <w:rsid w:val="00986012"/>
    <w:rsid w:val="00990BFB"/>
    <w:rsid w:val="00992D7F"/>
    <w:rsid w:val="009977BC"/>
    <w:rsid w:val="009A3203"/>
    <w:rsid w:val="009B07E8"/>
    <w:rsid w:val="009B25AE"/>
    <w:rsid w:val="009B4730"/>
    <w:rsid w:val="009B4860"/>
    <w:rsid w:val="009B63A8"/>
    <w:rsid w:val="009C134E"/>
    <w:rsid w:val="009C1C0F"/>
    <w:rsid w:val="009C2457"/>
    <w:rsid w:val="009C557C"/>
    <w:rsid w:val="009C5E13"/>
    <w:rsid w:val="009C7BF6"/>
    <w:rsid w:val="009D111F"/>
    <w:rsid w:val="009D316D"/>
    <w:rsid w:val="009D36A7"/>
    <w:rsid w:val="009D55C4"/>
    <w:rsid w:val="009D65C9"/>
    <w:rsid w:val="009D6F2D"/>
    <w:rsid w:val="009E0F72"/>
    <w:rsid w:val="009E2B55"/>
    <w:rsid w:val="009E320F"/>
    <w:rsid w:val="009E429F"/>
    <w:rsid w:val="009E6AA0"/>
    <w:rsid w:val="009F3349"/>
    <w:rsid w:val="00A0131F"/>
    <w:rsid w:val="00A0281A"/>
    <w:rsid w:val="00A036DB"/>
    <w:rsid w:val="00A03CDD"/>
    <w:rsid w:val="00A1630A"/>
    <w:rsid w:val="00A20DC1"/>
    <w:rsid w:val="00A22E04"/>
    <w:rsid w:val="00A24144"/>
    <w:rsid w:val="00A26DBC"/>
    <w:rsid w:val="00A30CBC"/>
    <w:rsid w:val="00A35513"/>
    <w:rsid w:val="00A3623F"/>
    <w:rsid w:val="00A36B21"/>
    <w:rsid w:val="00A37FC9"/>
    <w:rsid w:val="00A40CC7"/>
    <w:rsid w:val="00A46867"/>
    <w:rsid w:val="00A51887"/>
    <w:rsid w:val="00A53223"/>
    <w:rsid w:val="00A678FE"/>
    <w:rsid w:val="00A70E20"/>
    <w:rsid w:val="00A72DF3"/>
    <w:rsid w:val="00A73B5C"/>
    <w:rsid w:val="00A74404"/>
    <w:rsid w:val="00A76304"/>
    <w:rsid w:val="00A81126"/>
    <w:rsid w:val="00A81933"/>
    <w:rsid w:val="00A8252F"/>
    <w:rsid w:val="00A831DB"/>
    <w:rsid w:val="00A837DE"/>
    <w:rsid w:val="00A861EE"/>
    <w:rsid w:val="00A95533"/>
    <w:rsid w:val="00A9782F"/>
    <w:rsid w:val="00AA107C"/>
    <w:rsid w:val="00AA1F1A"/>
    <w:rsid w:val="00AA3953"/>
    <w:rsid w:val="00AA7808"/>
    <w:rsid w:val="00AB21A3"/>
    <w:rsid w:val="00AB3B39"/>
    <w:rsid w:val="00AB4788"/>
    <w:rsid w:val="00AB7E95"/>
    <w:rsid w:val="00AC0974"/>
    <w:rsid w:val="00AC13C7"/>
    <w:rsid w:val="00AC16E8"/>
    <w:rsid w:val="00AC5C3F"/>
    <w:rsid w:val="00AD3C4D"/>
    <w:rsid w:val="00AE0039"/>
    <w:rsid w:val="00AE5F31"/>
    <w:rsid w:val="00AF48A5"/>
    <w:rsid w:val="00AF7645"/>
    <w:rsid w:val="00B00655"/>
    <w:rsid w:val="00B00875"/>
    <w:rsid w:val="00B01A1F"/>
    <w:rsid w:val="00B0276D"/>
    <w:rsid w:val="00B029AE"/>
    <w:rsid w:val="00B06A92"/>
    <w:rsid w:val="00B12891"/>
    <w:rsid w:val="00B15811"/>
    <w:rsid w:val="00B168C9"/>
    <w:rsid w:val="00B208AD"/>
    <w:rsid w:val="00B25272"/>
    <w:rsid w:val="00B27C05"/>
    <w:rsid w:val="00B36F3E"/>
    <w:rsid w:val="00B374D8"/>
    <w:rsid w:val="00B3799B"/>
    <w:rsid w:val="00B4487C"/>
    <w:rsid w:val="00B452D2"/>
    <w:rsid w:val="00B50FBB"/>
    <w:rsid w:val="00B56862"/>
    <w:rsid w:val="00B61E5C"/>
    <w:rsid w:val="00B62776"/>
    <w:rsid w:val="00B66B58"/>
    <w:rsid w:val="00B70D48"/>
    <w:rsid w:val="00B71D4E"/>
    <w:rsid w:val="00B75066"/>
    <w:rsid w:val="00B753F5"/>
    <w:rsid w:val="00B770ED"/>
    <w:rsid w:val="00B86B8F"/>
    <w:rsid w:val="00B86F5B"/>
    <w:rsid w:val="00B87B57"/>
    <w:rsid w:val="00B92175"/>
    <w:rsid w:val="00B92CC2"/>
    <w:rsid w:val="00BA16AB"/>
    <w:rsid w:val="00BA1D6D"/>
    <w:rsid w:val="00BA4E5F"/>
    <w:rsid w:val="00BB2F53"/>
    <w:rsid w:val="00BB4C6A"/>
    <w:rsid w:val="00BB67E1"/>
    <w:rsid w:val="00BB6F2D"/>
    <w:rsid w:val="00BB789D"/>
    <w:rsid w:val="00BC1326"/>
    <w:rsid w:val="00BC30F4"/>
    <w:rsid w:val="00BC4488"/>
    <w:rsid w:val="00BD0E2B"/>
    <w:rsid w:val="00BD14B7"/>
    <w:rsid w:val="00BD18C1"/>
    <w:rsid w:val="00BD4010"/>
    <w:rsid w:val="00BD5327"/>
    <w:rsid w:val="00BD5AB4"/>
    <w:rsid w:val="00BD7C97"/>
    <w:rsid w:val="00BE0CB1"/>
    <w:rsid w:val="00BE2CDB"/>
    <w:rsid w:val="00BE5079"/>
    <w:rsid w:val="00BE5407"/>
    <w:rsid w:val="00BE5886"/>
    <w:rsid w:val="00BE5C67"/>
    <w:rsid w:val="00BE7637"/>
    <w:rsid w:val="00BF1BB5"/>
    <w:rsid w:val="00BF5E98"/>
    <w:rsid w:val="00BF6839"/>
    <w:rsid w:val="00C03AED"/>
    <w:rsid w:val="00C03BA9"/>
    <w:rsid w:val="00C10267"/>
    <w:rsid w:val="00C120EE"/>
    <w:rsid w:val="00C17774"/>
    <w:rsid w:val="00C228F0"/>
    <w:rsid w:val="00C22EF5"/>
    <w:rsid w:val="00C24726"/>
    <w:rsid w:val="00C257D6"/>
    <w:rsid w:val="00C25A79"/>
    <w:rsid w:val="00C25F27"/>
    <w:rsid w:val="00C3338C"/>
    <w:rsid w:val="00C35664"/>
    <w:rsid w:val="00C40C1B"/>
    <w:rsid w:val="00C42A9F"/>
    <w:rsid w:val="00C5229A"/>
    <w:rsid w:val="00C52563"/>
    <w:rsid w:val="00C543B8"/>
    <w:rsid w:val="00C5481D"/>
    <w:rsid w:val="00C602D7"/>
    <w:rsid w:val="00C61C31"/>
    <w:rsid w:val="00C725A7"/>
    <w:rsid w:val="00C746FB"/>
    <w:rsid w:val="00C76359"/>
    <w:rsid w:val="00C76CB3"/>
    <w:rsid w:val="00C76EE5"/>
    <w:rsid w:val="00C81091"/>
    <w:rsid w:val="00C8215D"/>
    <w:rsid w:val="00C82CF1"/>
    <w:rsid w:val="00C85213"/>
    <w:rsid w:val="00C85559"/>
    <w:rsid w:val="00CA3FD1"/>
    <w:rsid w:val="00CA4618"/>
    <w:rsid w:val="00CA5029"/>
    <w:rsid w:val="00CC2BB1"/>
    <w:rsid w:val="00CC308E"/>
    <w:rsid w:val="00CC6D68"/>
    <w:rsid w:val="00CD5744"/>
    <w:rsid w:val="00CD6B9E"/>
    <w:rsid w:val="00CD7800"/>
    <w:rsid w:val="00CE1398"/>
    <w:rsid w:val="00CE51D8"/>
    <w:rsid w:val="00CE6CAC"/>
    <w:rsid w:val="00CE7CE6"/>
    <w:rsid w:val="00CF421E"/>
    <w:rsid w:val="00CF7EBE"/>
    <w:rsid w:val="00D033EB"/>
    <w:rsid w:val="00D03EE8"/>
    <w:rsid w:val="00D1338B"/>
    <w:rsid w:val="00D14B36"/>
    <w:rsid w:val="00D16CA7"/>
    <w:rsid w:val="00D172E9"/>
    <w:rsid w:val="00D20F77"/>
    <w:rsid w:val="00D211D1"/>
    <w:rsid w:val="00D23DAC"/>
    <w:rsid w:val="00D24379"/>
    <w:rsid w:val="00D30323"/>
    <w:rsid w:val="00D340BD"/>
    <w:rsid w:val="00D3660B"/>
    <w:rsid w:val="00D3701B"/>
    <w:rsid w:val="00D42604"/>
    <w:rsid w:val="00D45744"/>
    <w:rsid w:val="00D472C9"/>
    <w:rsid w:val="00D50D74"/>
    <w:rsid w:val="00D57E69"/>
    <w:rsid w:val="00D604C5"/>
    <w:rsid w:val="00D6177A"/>
    <w:rsid w:val="00D621E0"/>
    <w:rsid w:val="00D641ED"/>
    <w:rsid w:val="00D67028"/>
    <w:rsid w:val="00D73558"/>
    <w:rsid w:val="00D75EA5"/>
    <w:rsid w:val="00D84887"/>
    <w:rsid w:val="00D8643D"/>
    <w:rsid w:val="00D90C2D"/>
    <w:rsid w:val="00D95B61"/>
    <w:rsid w:val="00DA03B4"/>
    <w:rsid w:val="00DA1544"/>
    <w:rsid w:val="00DA24A3"/>
    <w:rsid w:val="00DA2B0C"/>
    <w:rsid w:val="00DA4340"/>
    <w:rsid w:val="00DB07CD"/>
    <w:rsid w:val="00DB1BFE"/>
    <w:rsid w:val="00DB1CD5"/>
    <w:rsid w:val="00DB2847"/>
    <w:rsid w:val="00DB4248"/>
    <w:rsid w:val="00DB6254"/>
    <w:rsid w:val="00DB7A29"/>
    <w:rsid w:val="00DB7AF1"/>
    <w:rsid w:val="00DC40D1"/>
    <w:rsid w:val="00DD0074"/>
    <w:rsid w:val="00DD1790"/>
    <w:rsid w:val="00DE18AA"/>
    <w:rsid w:val="00DE2A50"/>
    <w:rsid w:val="00DE4C85"/>
    <w:rsid w:val="00DE53B3"/>
    <w:rsid w:val="00DE7F82"/>
    <w:rsid w:val="00DF24E0"/>
    <w:rsid w:val="00DF303C"/>
    <w:rsid w:val="00DF4F9B"/>
    <w:rsid w:val="00DF5AFD"/>
    <w:rsid w:val="00E0141B"/>
    <w:rsid w:val="00E01A37"/>
    <w:rsid w:val="00E02C40"/>
    <w:rsid w:val="00E061A0"/>
    <w:rsid w:val="00E1374D"/>
    <w:rsid w:val="00E13FDE"/>
    <w:rsid w:val="00E160EE"/>
    <w:rsid w:val="00E16DC1"/>
    <w:rsid w:val="00E229E2"/>
    <w:rsid w:val="00E231DF"/>
    <w:rsid w:val="00E30497"/>
    <w:rsid w:val="00E37586"/>
    <w:rsid w:val="00E45365"/>
    <w:rsid w:val="00E47374"/>
    <w:rsid w:val="00E47C72"/>
    <w:rsid w:val="00E531B1"/>
    <w:rsid w:val="00E547E0"/>
    <w:rsid w:val="00E56285"/>
    <w:rsid w:val="00E56445"/>
    <w:rsid w:val="00E57CD8"/>
    <w:rsid w:val="00E6307E"/>
    <w:rsid w:val="00E63302"/>
    <w:rsid w:val="00E637F4"/>
    <w:rsid w:val="00E64EAD"/>
    <w:rsid w:val="00E70147"/>
    <w:rsid w:val="00E7092B"/>
    <w:rsid w:val="00E71EC1"/>
    <w:rsid w:val="00E75EBE"/>
    <w:rsid w:val="00E76773"/>
    <w:rsid w:val="00E77C1E"/>
    <w:rsid w:val="00E8162F"/>
    <w:rsid w:val="00E83C23"/>
    <w:rsid w:val="00E83CA5"/>
    <w:rsid w:val="00E84D3A"/>
    <w:rsid w:val="00E859F8"/>
    <w:rsid w:val="00E916E9"/>
    <w:rsid w:val="00E9171D"/>
    <w:rsid w:val="00E9637B"/>
    <w:rsid w:val="00E9687D"/>
    <w:rsid w:val="00E97522"/>
    <w:rsid w:val="00EA02DF"/>
    <w:rsid w:val="00EA48CF"/>
    <w:rsid w:val="00EA565B"/>
    <w:rsid w:val="00EA7122"/>
    <w:rsid w:val="00EB05B0"/>
    <w:rsid w:val="00EB277B"/>
    <w:rsid w:val="00EB4B56"/>
    <w:rsid w:val="00EB4E2A"/>
    <w:rsid w:val="00EB767C"/>
    <w:rsid w:val="00EC0B1D"/>
    <w:rsid w:val="00EC488E"/>
    <w:rsid w:val="00EC770C"/>
    <w:rsid w:val="00ED1320"/>
    <w:rsid w:val="00ED66E4"/>
    <w:rsid w:val="00ED7E7F"/>
    <w:rsid w:val="00EE00DF"/>
    <w:rsid w:val="00EE265A"/>
    <w:rsid w:val="00EE4906"/>
    <w:rsid w:val="00EE4EFB"/>
    <w:rsid w:val="00EE7996"/>
    <w:rsid w:val="00EF45C0"/>
    <w:rsid w:val="00EF46AC"/>
    <w:rsid w:val="00EF63F5"/>
    <w:rsid w:val="00F000A8"/>
    <w:rsid w:val="00F11615"/>
    <w:rsid w:val="00F12AAE"/>
    <w:rsid w:val="00F16678"/>
    <w:rsid w:val="00F16F7B"/>
    <w:rsid w:val="00F1743F"/>
    <w:rsid w:val="00F20087"/>
    <w:rsid w:val="00F20B34"/>
    <w:rsid w:val="00F236EB"/>
    <w:rsid w:val="00F24712"/>
    <w:rsid w:val="00F24D76"/>
    <w:rsid w:val="00F31582"/>
    <w:rsid w:val="00F341F5"/>
    <w:rsid w:val="00F3581F"/>
    <w:rsid w:val="00F46382"/>
    <w:rsid w:val="00F50B7C"/>
    <w:rsid w:val="00F511B8"/>
    <w:rsid w:val="00F51657"/>
    <w:rsid w:val="00F51E28"/>
    <w:rsid w:val="00F522D1"/>
    <w:rsid w:val="00F52F66"/>
    <w:rsid w:val="00F5490F"/>
    <w:rsid w:val="00F54C93"/>
    <w:rsid w:val="00F57A39"/>
    <w:rsid w:val="00F6116F"/>
    <w:rsid w:val="00F62C20"/>
    <w:rsid w:val="00F650A7"/>
    <w:rsid w:val="00F654D5"/>
    <w:rsid w:val="00F6776C"/>
    <w:rsid w:val="00F75ADE"/>
    <w:rsid w:val="00F82BA7"/>
    <w:rsid w:val="00F86EFD"/>
    <w:rsid w:val="00F86F1D"/>
    <w:rsid w:val="00F94347"/>
    <w:rsid w:val="00F96F0C"/>
    <w:rsid w:val="00FA1E60"/>
    <w:rsid w:val="00FA21AA"/>
    <w:rsid w:val="00FA7C20"/>
    <w:rsid w:val="00FB2432"/>
    <w:rsid w:val="00FB32B1"/>
    <w:rsid w:val="00FB4F30"/>
    <w:rsid w:val="00FB78AA"/>
    <w:rsid w:val="00FB7E85"/>
    <w:rsid w:val="00FC2663"/>
    <w:rsid w:val="00FC385F"/>
    <w:rsid w:val="00FD0EA6"/>
    <w:rsid w:val="00FD1569"/>
    <w:rsid w:val="00FD1FDA"/>
    <w:rsid w:val="00FD30EF"/>
    <w:rsid w:val="00FD477C"/>
    <w:rsid w:val="00FD6A76"/>
    <w:rsid w:val="00FD7717"/>
    <w:rsid w:val="00FF0E6A"/>
    <w:rsid w:val="00FF2B0D"/>
    <w:rsid w:val="00FF4CA3"/>
    <w:rsid w:val="00FF5E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6A31D"/>
  <w15:chartTrackingRefBased/>
  <w15:docId w15:val="{F1672466-AB9C-473E-A400-CD3BB56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788"/>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B374D8"/>
    <w:pPr>
      <w:numPr>
        <w:numId w:val="1"/>
      </w:numPr>
      <w:spacing w:after="160" w:line="259" w:lineRule="auto"/>
      <w:outlineLvl w:val="0"/>
    </w:pPr>
    <w:rPr>
      <w:b/>
      <w:szCs w:val="22"/>
    </w:rPr>
  </w:style>
  <w:style w:type="paragraph" w:styleId="Heading2">
    <w:name w:val="heading 2"/>
    <w:basedOn w:val="ListParagraph"/>
    <w:next w:val="Normal"/>
    <w:link w:val="Heading2Char"/>
    <w:uiPriority w:val="9"/>
    <w:unhideWhenUsed/>
    <w:qFormat/>
    <w:rsid w:val="00B27C05"/>
    <w:pPr>
      <w:numPr>
        <w:numId w:val="3"/>
      </w:numPr>
      <w:spacing w:line="360" w:lineRule="auto"/>
      <w:ind w:left="714" w:hanging="714"/>
      <w:jc w:val="both"/>
      <w:outlineLvl w:val="1"/>
    </w:pPr>
    <w:rPr>
      <w:b/>
      <w:i/>
      <w:szCs w:val="22"/>
    </w:rPr>
  </w:style>
  <w:style w:type="paragraph" w:styleId="Heading3">
    <w:name w:val="heading 3"/>
    <w:basedOn w:val="ListParagraph"/>
    <w:next w:val="Normal"/>
    <w:link w:val="Heading3Char"/>
    <w:uiPriority w:val="9"/>
    <w:unhideWhenUsed/>
    <w:qFormat/>
    <w:rsid w:val="00AB4788"/>
    <w:pPr>
      <w:numPr>
        <w:numId w:val="4"/>
      </w:numPr>
      <w:spacing w:after="160" w:line="259" w:lineRule="auto"/>
      <w:ind w:left="1077" w:hanging="720"/>
      <w:outlineLvl w:val="2"/>
    </w:pPr>
    <w:rPr>
      <w:i/>
      <w:szCs w:val="22"/>
    </w:rPr>
  </w:style>
  <w:style w:type="paragraph" w:styleId="Heading4">
    <w:name w:val="heading 4"/>
    <w:basedOn w:val="Normal"/>
    <w:next w:val="Normal"/>
    <w:link w:val="Heading4Char"/>
    <w:uiPriority w:val="9"/>
    <w:unhideWhenUsed/>
    <w:qFormat/>
    <w:rsid w:val="008554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88"/>
    <w:rPr>
      <w:rFonts w:ascii="Times New Roman" w:hAnsi="Times New Roman" w:cs="Times New Roman"/>
      <w:b/>
      <w:sz w:val="24"/>
    </w:rPr>
  </w:style>
  <w:style w:type="character" w:customStyle="1" w:styleId="Heading2Char">
    <w:name w:val="Heading 2 Char"/>
    <w:basedOn w:val="DefaultParagraphFont"/>
    <w:link w:val="Heading2"/>
    <w:uiPriority w:val="9"/>
    <w:rsid w:val="00B27C05"/>
    <w:rPr>
      <w:rFonts w:ascii="Times New Roman" w:hAnsi="Times New Roman" w:cs="Times New Roman"/>
      <w:b/>
      <w:i/>
      <w:sz w:val="24"/>
    </w:rPr>
  </w:style>
  <w:style w:type="character" w:customStyle="1" w:styleId="Heading3Char">
    <w:name w:val="Heading 3 Char"/>
    <w:basedOn w:val="DefaultParagraphFont"/>
    <w:link w:val="Heading3"/>
    <w:uiPriority w:val="9"/>
    <w:rsid w:val="00AB4788"/>
    <w:rPr>
      <w:rFonts w:ascii="Times New Roman" w:hAnsi="Times New Roman" w:cs="Times New Roman"/>
      <w:i/>
      <w:sz w:val="24"/>
    </w:rPr>
  </w:style>
  <w:style w:type="paragraph" w:styleId="FootnoteText">
    <w:name w:val="footnote text"/>
    <w:basedOn w:val="Normal"/>
    <w:link w:val="FootnoteTextChar"/>
    <w:uiPriority w:val="99"/>
    <w:unhideWhenUsed/>
    <w:qFormat/>
    <w:rsid w:val="00AB4788"/>
    <w:rPr>
      <w:sz w:val="20"/>
      <w:szCs w:val="20"/>
    </w:rPr>
  </w:style>
  <w:style w:type="character" w:customStyle="1" w:styleId="FootnoteTextChar">
    <w:name w:val="Footnote Text Char"/>
    <w:basedOn w:val="DefaultParagraphFont"/>
    <w:link w:val="FootnoteText"/>
    <w:uiPriority w:val="99"/>
    <w:rsid w:val="00AB478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B4788"/>
    <w:rPr>
      <w:vertAlign w:val="superscript"/>
    </w:rPr>
  </w:style>
  <w:style w:type="paragraph" w:styleId="Header">
    <w:name w:val="header"/>
    <w:basedOn w:val="Normal"/>
    <w:link w:val="HeaderChar"/>
    <w:uiPriority w:val="99"/>
    <w:unhideWhenUsed/>
    <w:rsid w:val="00AB4788"/>
    <w:pPr>
      <w:tabs>
        <w:tab w:val="center" w:pos="4513"/>
        <w:tab w:val="right" w:pos="9026"/>
      </w:tabs>
    </w:pPr>
  </w:style>
  <w:style w:type="character" w:customStyle="1" w:styleId="HeaderChar">
    <w:name w:val="Header Char"/>
    <w:basedOn w:val="DefaultParagraphFont"/>
    <w:link w:val="Header"/>
    <w:uiPriority w:val="99"/>
    <w:rsid w:val="00AB4788"/>
    <w:rPr>
      <w:rFonts w:ascii="Times New Roman" w:hAnsi="Times New Roman" w:cs="Times New Roman"/>
      <w:sz w:val="24"/>
      <w:szCs w:val="24"/>
    </w:rPr>
  </w:style>
  <w:style w:type="paragraph" w:styleId="Footer">
    <w:name w:val="footer"/>
    <w:basedOn w:val="Normal"/>
    <w:link w:val="FooterChar"/>
    <w:uiPriority w:val="99"/>
    <w:unhideWhenUsed/>
    <w:rsid w:val="00AB4788"/>
    <w:pPr>
      <w:tabs>
        <w:tab w:val="center" w:pos="4513"/>
        <w:tab w:val="right" w:pos="9026"/>
      </w:tabs>
    </w:pPr>
  </w:style>
  <w:style w:type="character" w:customStyle="1" w:styleId="FooterChar">
    <w:name w:val="Footer Char"/>
    <w:basedOn w:val="DefaultParagraphFont"/>
    <w:link w:val="Footer"/>
    <w:uiPriority w:val="99"/>
    <w:rsid w:val="00AB4788"/>
    <w:rPr>
      <w:rFonts w:ascii="Times New Roman" w:hAnsi="Times New Roman" w:cs="Times New Roman"/>
      <w:sz w:val="24"/>
      <w:szCs w:val="24"/>
    </w:rPr>
  </w:style>
  <w:style w:type="character" w:styleId="Hyperlink">
    <w:name w:val="Hyperlink"/>
    <w:basedOn w:val="DefaultParagraphFont"/>
    <w:uiPriority w:val="99"/>
    <w:unhideWhenUsed/>
    <w:rsid w:val="00AB4788"/>
    <w:rPr>
      <w:color w:val="0563C1" w:themeColor="hyperlink"/>
      <w:u w:val="single"/>
    </w:rPr>
  </w:style>
  <w:style w:type="character" w:styleId="PageNumber">
    <w:name w:val="page number"/>
    <w:basedOn w:val="DefaultParagraphFont"/>
    <w:rsid w:val="00AB4788"/>
  </w:style>
  <w:style w:type="character" w:styleId="CommentReference">
    <w:name w:val="annotation reference"/>
    <w:basedOn w:val="DefaultParagraphFont"/>
    <w:uiPriority w:val="99"/>
    <w:semiHidden/>
    <w:unhideWhenUsed/>
    <w:rsid w:val="00AB4788"/>
    <w:rPr>
      <w:sz w:val="16"/>
      <w:szCs w:val="16"/>
    </w:rPr>
  </w:style>
  <w:style w:type="paragraph" w:styleId="CommentText">
    <w:name w:val="annotation text"/>
    <w:basedOn w:val="Normal"/>
    <w:link w:val="CommentTextChar"/>
    <w:uiPriority w:val="99"/>
    <w:semiHidden/>
    <w:unhideWhenUsed/>
    <w:rsid w:val="00AB4788"/>
    <w:rPr>
      <w:sz w:val="20"/>
      <w:szCs w:val="20"/>
    </w:rPr>
  </w:style>
  <w:style w:type="character" w:customStyle="1" w:styleId="CommentTextChar">
    <w:name w:val="Comment Text Char"/>
    <w:basedOn w:val="DefaultParagraphFont"/>
    <w:link w:val="CommentText"/>
    <w:uiPriority w:val="99"/>
    <w:semiHidden/>
    <w:rsid w:val="00AB4788"/>
    <w:rPr>
      <w:rFonts w:ascii="Times New Roman" w:hAnsi="Times New Roman" w:cs="Times New Roman"/>
      <w:sz w:val="20"/>
      <w:szCs w:val="20"/>
    </w:rPr>
  </w:style>
  <w:style w:type="paragraph" w:styleId="Title">
    <w:name w:val="Title"/>
    <w:basedOn w:val="Normal"/>
    <w:next w:val="Normal"/>
    <w:link w:val="TitleChar"/>
    <w:uiPriority w:val="10"/>
    <w:qFormat/>
    <w:rsid w:val="00AB4788"/>
    <w:pPr>
      <w:spacing w:after="160" w:line="360" w:lineRule="auto"/>
      <w:ind w:left="357"/>
      <w:contextualSpacing/>
      <w:jc w:val="center"/>
    </w:pPr>
    <w:rPr>
      <w:b/>
      <w:sz w:val="28"/>
      <w:szCs w:val="22"/>
    </w:rPr>
  </w:style>
  <w:style w:type="character" w:customStyle="1" w:styleId="TitleChar">
    <w:name w:val="Title Char"/>
    <w:basedOn w:val="DefaultParagraphFont"/>
    <w:link w:val="Title"/>
    <w:uiPriority w:val="10"/>
    <w:rsid w:val="00AB4788"/>
    <w:rPr>
      <w:rFonts w:ascii="Times New Roman" w:hAnsi="Times New Roman" w:cs="Times New Roman"/>
      <w:b/>
      <w:sz w:val="28"/>
    </w:rPr>
  </w:style>
  <w:style w:type="paragraph" w:styleId="Subtitle">
    <w:name w:val="Subtitle"/>
    <w:basedOn w:val="Normal"/>
    <w:next w:val="Normal"/>
    <w:link w:val="SubtitleChar"/>
    <w:uiPriority w:val="11"/>
    <w:qFormat/>
    <w:rsid w:val="00AB4788"/>
    <w:pPr>
      <w:spacing w:after="160" w:line="360" w:lineRule="auto"/>
      <w:ind w:left="357"/>
      <w:contextualSpacing/>
      <w:jc w:val="center"/>
    </w:pPr>
    <w:rPr>
      <w:b/>
      <w:sz w:val="28"/>
      <w:szCs w:val="22"/>
    </w:rPr>
  </w:style>
  <w:style w:type="character" w:customStyle="1" w:styleId="SubtitleChar">
    <w:name w:val="Subtitle Char"/>
    <w:basedOn w:val="DefaultParagraphFont"/>
    <w:link w:val="Subtitle"/>
    <w:uiPriority w:val="11"/>
    <w:rsid w:val="00AB4788"/>
    <w:rPr>
      <w:rFonts w:ascii="Times New Roman" w:hAnsi="Times New Roman" w:cs="Times New Roman"/>
      <w:b/>
      <w:sz w:val="28"/>
    </w:rPr>
  </w:style>
  <w:style w:type="paragraph" w:styleId="Quote">
    <w:name w:val="Quote"/>
    <w:basedOn w:val="Normal"/>
    <w:next w:val="Normal"/>
    <w:link w:val="QuoteChar"/>
    <w:uiPriority w:val="29"/>
    <w:qFormat/>
    <w:rsid w:val="00AB4788"/>
    <w:pPr>
      <w:spacing w:after="160" w:line="480" w:lineRule="auto"/>
      <w:ind w:left="1077"/>
      <w:contextualSpacing/>
    </w:pPr>
    <w:rPr>
      <w:szCs w:val="22"/>
    </w:rPr>
  </w:style>
  <w:style w:type="character" w:customStyle="1" w:styleId="QuoteChar">
    <w:name w:val="Quote Char"/>
    <w:basedOn w:val="DefaultParagraphFont"/>
    <w:link w:val="Quote"/>
    <w:uiPriority w:val="29"/>
    <w:rsid w:val="00AB4788"/>
    <w:rPr>
      <w:rFonts w:ascii="Times New Roman" w:hAnsi="Times New Roman" w:cs="Times New Roman"/>
      <w:sz w:val="24"/>
    </w:rPr>
  </w:style>
  <w:style w:type="paragraph" w:styleId="ListParagraph">
    <w:name w:val="List Paragraph"/>
    <w:basedOn w:val="Normal"/>
    <w:uiPriority w:val="34"/>
    <w:qFormat/>
    <w:rsid w:val="00AB4788"/>
    <w:pPr>
      <w:ind w:left="720"/>
      <w:contextualSpacing/>
    </w:pPr>
  </w:style>
  <w:style w:type="paragraph" w:styleId="BalloonText">
    <w:name w:val="Balloon Text"/>
    <w:basedOn w:val="Normal"/>
    <w:link w:val="BalloonTextChar"/>
    <w:uiPriority w:val="99"/>
    <w:semiHidden/>
    <w:unhideWhenUsed/>
    <w:rsid w:val="00F86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1D"/>
    <w:rPr>
      <w:rFonts w:ascii="Segoe UI" w:hAnsi="Segoe UI" w:cs="Segoe UI"/>
      <w:sz w:val="18"/>
      <w:szCs w:val="18"/>
    </w:rPr>
  </w:style>
  <w:style w:type="character" w:styleId="UnresolvedMention">
    <w:name w:val="Unresolved Mention"/>
    <w:basedOn w:val="DefaultParagraphFont"/>
    <w:uiPriority w:val="99"/>
    <w:semiHidden/>
    <w:unhideWhenUsed/>
    <w:rsid w:val="002763C9"/>
    <w:rPr>
      <w:color w:val="605E5C"/>
      <w:shd w:val="clear" w:color="auto" w:fill="E1DFDD"/>
    </w:rPr>
  </w:style>
  <w:style w:type="character" w:styleId="FollowedHyperlink">
    <w:name w:val="FollowedHyperlink"/>
    <w:basedOn w:val="DefaultParagraphFont"/>
    <w:uiPriority w:val="99"/>
    <w:semiHidden/>
    <w:unhideWhenUsed/>
    <w:rsid w:val="000A56BD"/>
    <w:rPr>
      <w:color w:val="954F72" w:themeColor="followedHyperlink"/>
      <w:u w:val="single"/>
    </w:rPr>
  </w:style>
  <w:style w:type="paragraph" w:styleId="TOCHeading">
    <w:name w:val="TOC Heading"/>
    <w:basedOn w:val="Heading1"/>
    <w:next w:val="Normal"/>
    <w:uiPriority w:val="39"/>
    <w:unhideWhenUsed/>
    <w:qFormat/>
    <w:rsid w:val="008554F3"/>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554F3"/>
    <w:pPr>
      <w:spacing w:after="100"/>
    </w:pPr>
  </w:style>
  <w:style w:type="paragraph" w:styleId="TOC2">
    <w:name w:val="toc 2"/>
    <w:basedOn w:val="Normal"/>
    <w:next w:val="Normal"/>
    <w:autoRedefine/>
    <w:uiPriority w:val="39"/>
    <w:unhideWhenUsed/>
    <w:rsid w:val="008554F3"/>
    <w:pPr>
      <w:spacing w:after="100"/>
      <w:ind w:left="240"/>
    </w:pPr>
  </w:style>
  <w:style w:type="character" w:customStyle="1" w:styleId="Heading4Char">
    <w:name w:val="Heading 4 Char"/>
    <w:basedOn w:val="DefaultParagraphFont"/>
    <w:link w:val="Heading4"/>
    <w:uiPriority w:val="9"/>
    <w:rsid w:val="008554F3"/>
    <w:rPr>
      <w:rFonts w:asciiTheme="majorHAnsi" w:eastAsiaTheme="majorEastAsia" w:hAnsiTheme="majorHAnsi" w:cstheme="majorBidi"/>
      <w:i/>
      <w:iCs/>
      <w:color w:val="2F5496" w:themeColor="accent1" w:themeShade="BF"/>
      <w:sz w:val="24"/>
      <w:szCs w:val="24"/>
    </w:rPr>
  </w:style>
  <w:style w:type="paragraph" w:styleId="CommentSubject">
    <w:name w:val="annotation subject"/>
    <w:basedOn w:val="CommentText"/>
    <w:next w:val="CommentText"/>
    <w:link w:val="CommentSubjectChar"/>
    <w:uiPriority w:val="99"/>
    <w:semiHidden/>
    <w:unhideWhenUsed/>
    <w:rsid w:val="00A95533"/>
    <w:rPr>
      <w:b/>
      <w:bCs/>
    </w:rPr>
  </w:style>
  <w:style w:type="character" w:customStyle="1" w:styleId="CommentSubjectChar">
    <w:name w:val="Comment Subject Char"/>
    <w:basedOn w:val="CommentTextChar"/>
    <w:link w:val="CommentSubject"/>
    <w:uiPriority w:val="99"/>
    <w:semiHidden/>
    <w:rsid w:val="00A95533"/>
    <w:rPr>
      <w:rFonts w:ascii="Times New Roman" w:hAnsi="Times New Roman" w:cs="Times New Roman"/>
      <w:b/>
      <w:bCs/>
      <w:sz w:val="20"/>
      <w:szCs w:val="20"/>
    </w:rPr>
  </w:style>
  <w:style w:type="paragraph" w:styleId="Revision">
    <w:name w:val="Revision"/>
    <w:hidden/>
    <w:uiPriority w:val="99"/>
    <w:semiHidden/>
    <w:rsid w:val="00731734"/>
    <w:pPr>
      <w:spacing w:after="0" w:line="240" w:lineRule="auto"/>
    </w:pPr>
    <w:rPr>
      <w:rFonts w:ascii="Times New Roman" w:hAnsi="Times New Roman" w:cs="Times New Roman"/>
      <w:sz w:val="24"/>
      <w:szCs w:val="24"/>
    </w:rPr>
  </w:style>
  <w:style w:type="paragraph" w:customStyle="1" w:styleId="SALparagraphs">
    <w:name w:val="SAL paragraphs"/>
    <w:basedOn w:val="Normal"/>
    <w:qFormat/>
    <w:rsid w:val="00B27C05"/>
    <w:pPr>
      <w:numPr>
        <w:numId w:val="7"/>
      </w:numPr>
      <w:spacing w:after="160" w:line="480" w:lineRule="auto"/>
      <w:contextualSpacing/>
      <w:jc w:val="both"/>
    </w:pPr>
  </w:style>
  <w:style w:type="paragraph" w:styleId="NoSpacing">
    <w:name w:val="No Spacing"/>
    <w:uiPriority w:val="1"/>
    <w:qFormat/>
    <w:rsid w:val="00B374D8"/>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m.govt.nz/our-projects/covert-filming" TargetMode="External"/><Relationship Id="rId13" Type="http://schemas.openxmlformats.org/officeDocument/2006/relationships/hyperlink" Target="https://www.asiaone.com/digital/man-jailed-10-weeks-uploading-revenge-porn-tumblr" TargetMode="External"/><Relationship Id="rId18" Type="http://schemas.openxmlformats.org/officeDocument/2006/relationships/hyperlink" Target="https://www.lawsociety.org.sg/portals/0/Media%20Centre/Law%20Gazette/pdf/SLG_JUL_2017.pdf" TargetMode="External"/><Relationship Id="rId3" Type="http://schemas.openxmlformats.org/officeDocument/2006/relationships/hyperlink" Target="https://www.straitstimes.com/singapore/courts-crime/ntu-student-expelled-for-allegedly-recording-video-of-woman-showering" TargetMode="External"/><Relationship Id="rId7" Type="http://schemas.openxmlformats.org/officeDocument/2006/relationships/hyperlink" Target="https://www.straitstimes.com/singapore/courts-crime/sg-nasi-lemak-case-man-faces-5-more-charges-involving-pornography" TargetMode="External"/><Relationship Id="rId12" Type="http://schemas.openxmlformats.org/officeDocument/2006/relationships/hyperlink" Target="https://www.straitstimes.com/singapore/courts-crime/2-teens-among-4-charged-with-circulating-obscene-materials-in-sg-nasi-lemak" TargetMode="External"/><Relationship Id="rId17" Type="http://schemas.openxmlformats.org/officeDocument/2006/relationships/hyperlink" Target="https://icd.who.int/browse11/l-m/en" TargetMode="External"/><Relationship Id="rId2" Type="http://schemas.openxmlformats.org/officeDocument/2006/relationships/hyperlink" Target="https://www.straitstimes.com/singapore/courts-crime/third-peeping-tom-incident-at-ntu-in-three-weeks" TargetMode="External"/><Relationship Id="rId16" Type="http://schemas.openxmlformats.org/officeDocument/2006/relationships/hyperlink" Target="https://www.straitstimes.com/singapore/what-makes-people-peep" TargetMode="External"/><Relationship Id="rId1" Type="http://schemas.openxmlformats.org/officeDocument/2006/relationships/hyperlink" Target="https://www.straitstimes.com/singapore/courts-crime/nus-student-charged-over-latest-voyeurism-incident-on-campus" TargetMode="External"/><Relationship Id="rId6" Type="http://schemas.openxmlformats.org/officeDocument/2006/relationships/hyperlink" Target="https://www.asiaone.com/digital/hailed-hero-sg-nasi-lemak-leonard-teo-was-involved-sharingiscaring" TargetMode="External"/><Relationship Id="rId11" Type="http://schemas.openxmlformats.org/officeDocument/2006/relationships/hyperlink" Target="https://www.straitstimes.com/singapore/courts-crime/man-sent-ex-girlfriends-nude-photos-to-website" TargetMode="External"/><Relationship Id="rId5" Type="http://schemas.openxmlformats.org/officeDocument/2006/relationships/hyperlink" Target="https://www.straitstimes.com/singapore/police-looking-into-another-telegram-chat-group-allegedly-circulating-obscene-materials" TargetMode="External"/><Relationship Id="rId15" Type="http://schemas.openxmlformats.org/officeDocument/2006/relationships/hyperlink" Target="https://www.parliament.uk/business/news/2018/september-2018/voyeurism-offences-no-2-bill-commons-stages/" TargetMode="External"/><Relationship Id="rId10" Type="http://schemas.openxmlformats.org/officeDocument/2006/relationships/hyperlink" Target="https://www.straitstimes.com/singapore/courts-crime/designer-jailed-for-threat-to-circulate-womans-nude-photos-fined-23k-for" TargetMode="External"/><Relationship Id="rId4" Type="http://schemas.openxmlformats.org/officeDocument/2006/relationships/hyperlink" Target="https://www.straitstimes.com/singapore/courts-crime/2-teens-among-4-charged-with-circulating-obscene-materials-in-sg-nasi-lemak" TargetMode="External"/><Relationship Id="rId9" Type="http://schemas.openxmlformats.org/officeDocument/2006/relationships/hyperlink" Target="https://www.channelnewsasia.com/news/singapore/singapore-voyeurism-problem-spy-cam-sex-harassment-monica-baey-11487244" TargetMode="External"/><Relationship Id="rId14" Type="http://schemas.openxmlformats.org/officeDocument/2006/relationships/hyperlink" Target="https://www.mha.gov.sg/doc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964D-022C-4B2E-986C-C642F128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dc:creator>
  <cp:keywords/>
  <dc:description/>
  <cp:lastModifiedBy>SOH Kian Peng</cp:lastModifiedBy>
  <cp:revision>10</cp:revision>
  <dcterms:created xsi:type="dcterms:W3CDTF">2020-01-28T07:42:00Z</dcterms:created>
  <dcterms:modified xsi:type="dcterms:W3CDTF">2020-06-10T11:55:00Z</dcterms:modified>
</cp:coreProperties>
</file>